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B1" w:rsidRPr="001B082B" w:rsidRDefault="008013B1" w:rsidP="008013B1">
      <w:pPr>
        <w:rPr>
          <w:rFonts w:eastAsia="Arial"/>
        </w:rPr>
      </w:pPr>
      <w:r w:rsidRPr="001B082B">
        <w:rPr>
          <w:rFonts w:eastAsia="Arial"/>
          <w:b/>
        </w:rPr>
        <w:t>Description:</w:t>
      </w:r>
      <w:r w:rsidRPr="001B082B">
        <w:rPr>
          <w:rFonts w:eastAsia="Arial"/>
        </w:rPr>
        <w:t xml:space="preserve"> Contract for Services - Ethiopia Energy Regulatory Framework assessment and ongoing support.</w:t>
      </w:r>
    </w:p>
    <w:p w:rsidR="008013B1" w:rsidRDefault="008013B1" w:rsidP="008013B1">
      <w:pPr>
        <w:rPr>
          <w:rFonts w:eastAsia="Arial"/>
        </w:rPr>
      </w:pPr>
      <w:r w:rsidRPr="001B082B">
        <w:rPr>
          <w:rFonts w:eastAsia="Arial"/>
          <w:b/>
        </w:rPr>
        <w:t>Project Location(s):</w:t>
      </w:r>
      <w:r w:rsidRPr="001B082B">
        <w:rPr>
          <w:rFonts w:eastAsia="Arial"/>
        </w:rPr>
        <w:t xml:space="preserve"> Remote and Addis Ababa, Ethiopia</w:t>
      </w:r>
    </w:p>
    <w:p w:rsidR="008013B1" w:rsidRPr="001B082B" w:rsidRDefault="008013B1" w:rsidP="008013B1">
      <w:pPr>
        <w:rPr>
          <w:rFonts w:eastAsia="Arial"/>
        </w:rPr>
      </w:pPr>
    </w:p>
    <w:p w:rsidR="006203CA" w:rsidRPr="001B082B" w:rsidRDefault="00D750F6" w:rsidP="00B11138">
      <w:pPr>
        <w:spacing w:after="200"/>
        <w:rPr>
          <w:rFonts w:eastAsia="Arial"/>
        </w:rPr>
      </w:pPr>
      <w:r w:rsidRPr="001B082B">
        <w:rPr>
          <w:rFonts w:eastAsia="Arial"/>
          <w:b/>
        </w:rPr>
        <w:t>Background</w:t>
      </w:r>
      <w:r w:rsidR="00B11138">
        <w:rPr>
          <w:rFonts w:eastAsia="Arial"/>
          <w:b/>
        </w:rPr>
        <w:t>:</w:t>
      </w:r>
    </w:p>
    <w:p w:rsidR="006203CA" w:rsidRPr="001B082B" w:rsidRDefault="00D750F6">
      <w:pPr>
        <w:jc w:val="both"/>
        <w:rPr>
          <w:rFonts w:eastAsia="Arial"/>
        </w:rPr>
      </w:pPr>
      <w:r w:rsidRPr="001B082B">
        <w:rPr>
          <w:rFonts w:eastAsia="Arial"/>
        </w:rPr>
        <w:t>Mercy Corps is a leading global organization powered by the belief that a better world is possible. In disaster, in hardship, in more than 40 countries around the world, we partner to put bold solutions into action helping people triumph over adversity and build s</w:t>
      </w:r>
      <w:r w:rsidR="001B082B" w:rsidRPr="001B082B">
        <w:rPr>
          <w:rFonts w:eastAsia="Arial"/>
        </w:rPr>
        <w:t>tronger communities from within n</w:t>
      </w:r>
      <w:r w:rsidRPr="001B082B">
        <w:rPr>
          <w:rFonts w:eastAsia="Arial"/>
        </w:rPr>
        <w:t>ow and for the future.</w:t>
      </w:r>
    </w:p>
    <w:p w:rsidR="006203CA" w:rsidRDefault="00D750F6">
      <w:pPr>
        <w:jc w:val="both"/>
        <w:rPr>
          <w:rFonts w:eastAsia="Arial"/>
        </w:rPr>
      </w:pPr>
      <w:r w:rsidRPr="001B082B">
        <w:rPr>
          <w:rFonts w:eastAsia="Arial"/>
        </w:rPr>
        <w:t>Mercy Corps Ethiopia exists to alleviate suffering and poverty by helping people build secure, productive, and sustainable livelihoods. Since 2004, we have worked in rural, peri-urban and urban</w:t>
      </w:r>
      <w:r w:rsidR="0001487E" w:rsidRPr="001B082B">
        <w:rPr>
          <w:rFonts w:eastAsia="Arial"/>
        </w:rPr>
        <w:t xml:space="preserve"> areas in five regional states,</w:t>
      </w:r>
      <w:r w:rsidRPr="001B082B">
        <w:rPr>
          <w:rFonts w:eastAsia="Arial"/>
        </w:rPr>
        <w:t xml:space="preserve"> Somali, Oromia, Afar, Southern Nations Nationalities and Peoples, Amahara, and the capital city,Addis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rsidR="00B11138" w:rsidRPr="001B082B" w:rsidRDefault="00B11138">
      <w:pPr>
        <w:jc w:val="both"/>
        <w:rPr>
          <w:rFonts w:eastAsia="Arial"/>
        </w:rPr>
      </w:pPr>
    </w:p>
    <w:p w:rsidR="008013B1" w:rsidRDefault="00D750F6">
      <w:pPr>
        <w:ind w:hanging="2"/>
        <w:rPr>
          <w:rFonts w:eastAsia="Arial"/>
        </w:rPr>
      </w:pPr>
      <w:r w:rsidRPr="001B082B">
        <w:rPr>
          <w:rFonts w:eastAsia="Arial"/>
        </w:rPr>
        <w:t>Mercy Corps is looking for a contractor to engage</w:t>
      </w:r>
      <w:r w:rsidR="008013B1">
        <w:rPr>
          <w:rFonts w:eastAsia="Arial"/>
        </w:rPr>
        <w:t xml:space="preserve"> for 50 days across 4 months to</w:t>
      </w:r>
      <w:r w:rsidR="00B11138">
        <w:rPr>
          <w:rFonts w:eastAsia="Arial"/>
        </w:rPr>
        <w:t>:</w:t>
      </w:r>
    </w:p>
    <w:p w:rsidR="00B11138" w:rsidRPr="001B082B" w:rsidRDefault="00B11138">
      <w:pPr>
        <w:ind w:hanging="2"/>
        <w:rPr>
          <w:rFonts w:eastAsia="Arial"/>
        </w:rPr>
      </w:pPr>
    </w:p>
    <w:p w:rsidR="006203CA" w:rsidRPr="001B082B" w:rsidRDefault="008013B1" w:rsidP="008013B1">
      <w:pPr>
        <w:rPr>
          <w:rFonts w:eastAsia="Arial"/>
        </w:rPr>
      </w:pPr>
      <w:r>
        <w:rPr>
          <w:rFonts w:eastAsia="Arial"/>
        </w:rPr>
        <w:t xml:space="preserve">1. </w:t>
      </w:r>
      <w:r w:rsidR="00D750F6" w:rsidRPr="001B082B">
        <w:rPr>
          <w:rFonts w:eastAsia="Arial"/>
        </w:rPr>
        <w:t>Conduct one assessment to review the national (federal) and sub-regional (Somali Region) regulatory framework and legislation on mini-grid development in displacement settings, with a focus on the role that national and international private sector companies could play (estimated Level of Effort, 25 days to be concentrated in 1.5 months).</w:t>
      </w:r>
      <w:bookmarkStart w:id="0" w:name="kix.s1v66plg4q0g" w:colFirst="0" w:colLast="0"/>
      <w:bookmarkEnd w:id="0"/>
      <w:r w:rsidR="00D750F6" w:rsidRPr="001B082B">
        <w:rPr>
          <w:rFonts w:eastAsia="Arial"/>
        </w:rPr>
        <w:t>   </w:t>
      </w:r>
    </w:p>
    <w:p w:rsidR="006203CA" w:rsidRPr="001B082B" w:rsidRDefault="008013B1" w:rsidP="008013B1">
      <w:pPr>
        <w:rPr>
          <w:rFonts w:eastAsia="Arial"/>
        </w:rPr>
      </w:pPr>
      <w:r>
        <w:rPr>
          <w:rFonts w:eastAsia="Arial"/>
        </w:rPr>
        <w:t xml:space="preserve">2. </w:t>
      </w:r>
      <w:r w:rsidR="00D750F6" w:rsidRPr="001B082B">
        <w:rPr>
          <w:rFonts w:eastAsia="Arial"/>
        </w:rPr>
        <w:t xml:space="preserve">Support the dedicated project manager and legal expert to draft MoU and agreement letters with relevant stakeholders to ensure a solid regulatory basis for the project (estimated Level of Effort, 25 days). This support will be spread out during the remaining months of the project inception phase. </w:t>
      </w:r>
    </w:p>
    <w:p w:rsidR="006203CA" w:rsidRPr="001B082B" w:rsidRDefault="00D750F6">
      <w:pPr>
        <w:ind w:hanging="2"/>
        <w:rPr>
          <w:rFonts w:eastAsia="Arial"/>
        </w:rPr>
      </w:pPr>
      <w:r w:rsidRPr="001B082B">
        <w:rPr>
          <w:rFonts w:eastAsia="Arial"/>
        </w:rPr>
        <w:t>  </w:t>
      </w:r>
    </w:p>
    <w:p w:rsidR="006203CA" w:rsidRPr="001B082B" w:rsidRDefault="00D750F6">
      <w:pPr>
        <w:rPr>
          <w:rFonts w:eastAsia="Arial"/>
          <w:b/>
        </w:rPr>
      </w:pPr>
      <w:r w:rsidRPr="001B082B">
        <w:rPr>
          <w:rFonts w:eastAsia="Arial"/>
          <w:b/>
        </w:rPr>
        <w:t xml:space="preserve">Timeframe: </w:t>
      </w:r>
    </w:p>
    <w:p w:rsidR="00B11138" w:rsidRDefault="00B11138">
      <w:pPr>
        <w:rPr>
          <w:rFonts w:eastAsia="Arial"/>
        </w:rPr>
      </w:pPr>
    </w:p>
    <w:p w:rsidR="006203CA" w:rsidRPr="001B082B" w:rsidRDefault="00D750F6">
      <w:pPr>
        <w:rPr>
          <w:rFonts w:eastAsia="Arial"/>
        </w:rPr>
      </w:pPr>
      <w:r w:rsidRPr="0011033D">
        <w:rPr>
          <w:rFonts w:eastAsia="Arial"/>
        </w:rPr>
        <w:t>May 1</w:t>
      </w:r>
      <w:r w:rsidR="008013B1" w:rsidRPr="0011033D">
        <w:rPr>
          <w:rFonts w:eastAsia="Arial"/>
        </w:rPr>
        <w:t>4</w:t>
      </w:r>
      <w:r w:rsidRPr="0011033D">
        <w:rPr>
          <w:rFonts w:eastAsia="Arial"/>
        </w:rPr>
        <w:t>, 2020 - June 15, 2020</w:t>
      </w:r>
      <w:r w:rsidRPr="001B082B">
        <w:rPr>
          <w:rFonts w:eastAsia="Arial"/>
        </w:rPr>
        <w:t xml:space="preserve"> (approximately, with the first draft to be delivered by early June on the high-level feasibility of the project)</w:t>
      </w:r>
    </w:p>
    <w:p w:rsidR="006203CA" w:rsidRPr="001B082B" w:rsidRDefault="006203CA">
      <w:pPr>
        <w:ind w:hanging="2"/>
        <w:rPr>
          <w:rFonts w:eastAsia="Arial"/>
        </w:rPr>
      </w:pPr>
    </w:p>
    <w:p w:rsidR="006203CA" w:rsidRPr="001B082B" w:rsidRDefault="00D750F6">
      <w:pPr>
        <w:ind w:hanging="2"/>
        <w:rPr>
          <w:rFonts w:eastAsia="Arial"/>
        </w:rPr>
      </w:pPr>
      <w:r w:rsidRPr="001B082B">
        <w:rPr>
          <w:rFonts w:eastAsia="Arial"/>
        </w:rPr>
        <w:t xml:space="preserve">Deliverable 2: June 15, 2020 - August 15, 2020 (approximately) </w:t>
      </w:r>
    </w:p>
    <w:p w:rsidR="006203CA" w:rsidRPr="001B082B" w:rsidRDefault="006203CA">
      <w:pPr>
        <w:rPr>
          <w:rFonts w:eastAsia="Arial"/>
        </w:rPr>
      </w:pPr>
      <w:bookmarkStart w:id="1" w:name="_GoBack"/>
      <w:bookmarkEnd w:id="1"/>
    </w:p>
    <w:p w:rsidR="006203CA" w:rsidRPr="001B082B" w:rsidRDefault="00D750F6" w:rsidP="00B11138">
      <w:pPr>
        <w:spacing w:after="200"/>
        <w:rPr>
          <w:rFonts w:eastAsia="Arial"/>
        </w:rPr>
      </w:pPr>
      <w:r w:rsidRPr="001B082B">
        <w:rPr>
          <w:rFonts w:eastAsia="Arial"/>
          <w:b/>
        </w:rPr>
        <w:t>Required Experience &amp; Skills:</w:t>
      </w:r>
    </w:p>
    <w:p w:rsidR="006203CA" w:rsidRPr="001B082B" w:rsidRDefault="00D750F6">
      <w:pPr>
        <w:numPr>
          <w:ilvl w:val="0"/>
          <w:numId w:val="9"/>
        </w:numPr>
        <w:rPr>
          <w:rFonts w:eastAsia="Arial"/>
        </w:rPr>
      </w:pPr>
      <w:r w:rsidRPr="001B082B">
        <w:rPr>
          <w:rFonts w:eastAsia="Arial"/>
        </w:rPr>
        <w:t>Demonstrated experience in regulatory framework around energy access in Ethiopia, with specific focus on mini-grids development, ownership and management</w:t>
      </w:r>
    </w:p>
    <w:p w:rsidR="006203CA" w:rsidRPr="001B082B" w:rsidRDefault="00D750F6">
      <w:pPr>
        <w:numPr>
          <w:ilvl w:val="0"/>
          <w:numId w:val="9"/>
        </w:numPr>
        <w:rPr>
          <w:rFonts w:eastAsia="Arial"/>
        </w:rPr>
      </w:pPr>
      <w:r w:rsidRPr="001B082B">
        <w:rPr>
          <w:rFonts w:eastAsia="Arial"/>
        </w:rPr>
        <w:t xml:space="preserve">Excellent knowledge of the Government of Ethiopia’s structure and demonstrated experience in navigating it </w:t>
      </w:r>
    </w:p>
    <w:p w:rsidR="006203CA" w:rsidRPr="001B082B" w:rsidRDefault="00D750F6">
      <w:pPr>
        <w:numPr>
          <w:ilvl w:val="0"/>
          <w:numId w:val="9"/>
        </w:numPr>
        <w:rPr>
          <w:rFonts w:eastAsia="Arial"/>
        </w:rPr>
      </w:pPr>
      <w:r w:rsidRPr="001B082B">
        <w:rPr>
          <w:rFonts w:eastAsia="Arial"/>
        </w:rPr>
        <w:lastRenderedPageBreak/>
        <w:t xml:space="preserve">Excellent knowledge of the regulatory framework for national and foreigner private sector investments, especially with regards of energy </w:t>
      </w:r>
    </w:p>
    <w:p w:rsidR="006203CA" w:rsidRPr="001B082B" w:rsidRDefault="00D750F6">
      <w:pPr>
        <w:numPr>
          <w:ilvl w:val="0"/>
          <w:numId w:val="9"/>
        </w:numPr>
        <w:rPr>
          <w:rFonts w:eastAsia="Arial"/>
        </w:rPr>
      </w:pPr>
      <w:r w:rsidRPr="001B082B">
        <w:rPr>
          <w:rFonts w:eastAsia="Arial"/>
        </w:rPr>
        <w:t>Excellent knowledge of current and on-going legislation over solar energy, including tax and customs exemptions</w:t>
      </w:r>
    </w:p>
    <w:p w:rsidR="006203CA" w:rsidRPr="001B082B" w:rsidRDefault="00D750F6">
      <w:pPr>
        <w:numPr>
          <w:ilvl w:val="0"/>
          <w:numId w:val="9"/>
        </w:numPr>
        <w:rPr>
          <w:rFonts w:eastAsia="Arial"/>
        </w:rPr>
      </w:pPr>
      <w:r w:rsidRPr="001B082B">
        <w:rPr>
          <w:rFonts w:eastAsia="Arial"/>
        </w:rPr>
        <w:t>Being in Ethiopia at the time of submission of the proposal to ensure rapid deployment, also due to current Covid-19-related restrictions</w:t>
      </w:r>
    </w:p>
    <w:p w:rsidR="006203CA" w:rsidRPr="001B082B" w:rsidRDefault="00D750F6">
      <w:pPr>
        <w:numPr>
          <w:ilvl w:val="0"/>
          <w:numId w:val="9"/>
        </w:numPr>
        <w:rPr>
          <w:rFonts w:eastAsia="Arial"/>
        </w:rPr>
      </w:pPr>
      <w:r w:rsidRPr="001B082B">
        <w:rPr>
          <w:rFonts w:eastAsia="Arial"/>
        </w:rPr>
        <w:t xml:space="preserve">Fluency in English is mandatory, fluency in Aramaic and/or Arabic is a strong advantage </w:t>
      </w:r>
    </w:p>
    <w:p w:rsidR="006203CA" w:rsidRPr="001B082B" w:rsidRDefault="006203CA">
      <w:pPr>
        <w:rPr>
          <w:rFonts w:eastAsia="Arial"/>
        </w:rPr>
      </w:pPr>
    </w:p>
    <w:p w:rsidR="006203CA" w:rsidRPr="001B082B" w:rsidRDefault="006203CA">
      <w:pPr>
        <w:ind w:left="720"/>
        <w:jc w:val="both"/>
        <w:rPr>
          <w:rFonts w:eastAsia="Arial"/>
        </w:rPr>
      </w:pPr>
    </w:p>
    <w:p w:rsidR="001B082B" w:rsidRPr="001B082B" w:rsidRDefault="001B082B" w:rsidP="001B082B">
      <w:pPr>
        <w:rPr>
          <w:b/>
          <w:u w:val="single"/>
        </w:rPr>
      </w:pPr>
      <w:r w:rsidRPr="001B082B">
        <w:rPr>
          <w:b/>
          <w:u w:val="single"/>
        </w:rPr>
        <w:t>Eligibility Criteria:</w:t>
      </w:r>
    </w:p>
    <w:p w:rsidR="001B082B" w:rsidRPr="001B082B" w:rsidRDefault="001B082B" w:rsidP="001B082B">
      <w:pPr>
        <w:numPr>
          <w:ilvl w:val="0"/>
          <w:numId w:val="12"/>
        </w:numPr>
        <w:jc w:val="both"/>
        <w:rPr>
          <w:color w:val="000000"/>
        </w:rPr>
      </w:pPr>
      <w:r w:rsidRPr="001B082B">
        <w:t>Being an eligible business under the Ethiopian laws and regulations;</w:t>
      </w:r>
      <w:r w:rsidRPr="001B082B">
        <w:rPr>
          <w:color w:val="000000"/>
        </w:rPr>
        <w:t xml:space="preserve"> and attach renewed Business license;</w:t>
      </w:r>
    </w:p>
    <w:p w:rsidR="001B082B" w:rsidRPr="001B082B" w:rsidRDefault="001B082B" w:rsidP="001B082B">
      <w:pPr>
        <w:numPr>
          <w:ilvl w:val="0"/>
          <w:numId w:val="12"/>
        </w:numPr>
        <w:jc w:val="both"/>
        <w:rPr>
          <w:i/>
          <w:iCs/>
          <w:color w:val="000000"/>
        </w:rPr>
      </w:pPr>
      <w:r w:rsidRPr="001B082B">
        <w:rPr>
          <w:color w:val="000000"/>
        </w:rPr>
        <w:t> Being in good standing with any Ethiopian taxation or legal authority; and which can submit Value Added Tax (VAT) registration and Tax Identification Number (TIN) certificate;</w:t>
      </w:r>
    </w:p>
    <w:p w:rsidR="001B082B" w:rsidRPr="001B082B" w:rsidRDefault="001B082B" w:rsidP="001B082B">
      <w:pPr>
        <w:numPr>
          <w:ilvl w:val="0"/>
          <w:numId w:val="12"/>
        </w:numPr>
        <w:autoSpaceDE w:val="0"/>
        <w:autoSpaceDN w:val="0"/>
        <w:rPr>
          <w:color w:val="000000"/>
        </w:rPr>
      </w:pPr>
      <w:r w:rsidRPr="001B082B">
        <w:rPr>
          <w:color w:val="000000"/>
        </w:rPr>
        <w:t>Having a satisfactory record of performance and business ethics based on information available to Mercy Corps;</w:t>
      </w:r>
    </w:p>
    <w:p w:rsidR="001B082B" w:rsidRPr="001B082B" w:rsidRDefault="001B082B" w:rsidP="001B082B">
      <w:pPr>
        <w:numPr>
          <w:ilvl w:val="0"/>
          <w:numId w:val="12"/>
        </w:numPr>
        <w:autoSpaceDE w:val="0"/>
        <w:autoSpaceDN w:val="0"/>
        <w:rPr>
          <w:color w:val="000000"/>
        </w:rPr>
      </w:pPr>
      <w:r w:rsidRPr="001B082B">
        <w:rPr>
          <w:rFonts w:eastAsia="Calibri"/>
        </w:rPr>
        <w:t>Please find the bid document on</w:t>
      </w:r>
      <w:r w:rsidRPr="001B082B">
        <w:t> </w:t>
      </w:r>
      <w:hyperlink r:id="rId7" w:history="1">
        <w:r w:rsidRPr="001B082B">
          <w:rPr>
            <w:rStyle w:val="Hyperlink"/>
          </w:rPr>
          <w:t>https://www.mercycorps.org/tenders</w:t>
        </w:r>
      </w:hyperlink>
    </w:p>
    <w:p w:rsidR="001B082B" w:rsidRPr="001B082B" w:rsidRDefault="001B082B" w:rsidP="001B082B">
      <w:pPr>
        <w:numPr>
          <w:ilvl w:val="0"/>
          <w:numId w:val="12"/>
        </w:numPr>
        <w:autoSpaceDE w:val="0"/>
        <w:autoSpaceDN w:val="0"/>
        <w:adjustRightInd w:val="0"/>
        <w:jc w:val="both"/>
        <w:rPr>
          <w:color w:val="000000"/>
        </w:rPr>
      </w:pPr>
      <w:r w:rsidRPr="001B082B">
        <w:rPr>
          <w:color w:val="000000"/>
        </w:rPr>
        <w:t xml:space="preserve">Technical and financial proposals should be submitted separately to </w:t>
      </w:r>
    </w:p>
    <w:p w:rsidR="001B082B" w:rsidRPr="001B082B" w:rsidRDefault="00041F80" w:rsidP="001B082B">
      <w:pPr>
        <w:autoSpaceDE w:val="0"/>
        <w:autoSpaceDN w:val="0"/>
        <w:adjustRightInd w:val="0"/>
        <w:ind w:left="1080"/>
        <w:jc w:val="both"/>
        <w:rPr>
          <w:color w:val="000000"/>
        </w:rPr>
      </w:pPr>
      <w:hyperlink r:id="rId8" w:history="1">
        <w:r>
          <w:rPr>
            <w:rStyle w:val="Hyperlink"/>
          </w:rPr>
          <w:t>tenders@mercycorps.org</w:t>
        </w:r>
      </w:hyperlink>
      <w:r w:rsidR="001B082B" w:rsidRPr="001B082B">
        <w:rPr>
          <w:rFonts w:eastAsia="Calibri"/>
        </w:rPr>
        <w:t xml:space="preserve"> on or before May 13</w:t>
      </w:r>
      <w:r w:rsidR="001B082B" w:rsidRPr="001B082B">
        <w:rPr>
          <w:rFonts w:eastAsia="Calibri"/>
          <w:vertAlign w:val="superscript"/>
        </w:rPr>
        <w:t>th</w:t>
      </w:r>
      <w:r w:rsidR="001B082B" w:rsidRPr="001B082B">
        <w:rPr>
          <w:rFonts w:eastAsia="Calibri"/>
        </w:rPr>
        <w:t xml:space="preserve"> 2020 10:00am </w:t>
      </w:r>
    </w:p>
    <w:p w:rsidR="001B082B" w:rsidRPr="001B082B" w:rsidRDefault="001B082B" w:rsidP="001B082B">
      <w:pPr>
        <w:pStyle w:val="ListParagraph"/>
        <w:autoSpaceDE w:val="0"/>
        <w:autoSpaceDN w:val="0"/>
        <w:spacing w:after="0" w:line="240" w:lineRule="auto"/>
        <w:ind w:left="1080"/>
        <w:jc w:val="both"/>
        <w:rPr>
          <w:rFonts w:ascii="Times New Roman" w:hAnsi="Times New Roman"/>
          <w:color w:val="000000"/>
          <w:sz w:val="24"/>
          <w:szCs w:val="24"/>
        </w:rPr>
      </w:pPr>
    </w:p>
    <w:p w:rsidR="001B082B" w:rsidRPr="001B082B" w:rsidRDefault="001B082B" w:rsidP="001B082B">
      <w:pPr>
        <w:rPr>
          <w:rFonts w:eastAsia="Arial"/>
        </w:rPr>
      </w:pPr>
      <w:r w:rsidRPr="001B082B">
        <w:rPr>
          <w:rFonts w:eastAsia="Arial"/>
        </w:rPr>
        <w:t>Eligible companies/firms have to submit the following:</w:t>
      </w:r>
    </w:p>
    <w:p w:rsidR="001B082B" w:rsidRPr="001B082B" w:rsidRDefault="001B082B" w:rsidP="001B082B">
      <w:pPr>
        <w:rPr>
          <w:rFonts w:eastAsia="Arial"/>
        </w:rPr>
      </w:pP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Company profile and CV of contractor;</w:t>
      </w: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Statement of interest, Proposed methodology and work plan;</w:t>
      </w: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Financial proposal with a detailed breakdown of costs (including all related costs) in USD  mentioning the terms of payment;</w:t>
      </w: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 xml:space="preserve">Technical and financial proposal separately to </w:t>
      </w:r>
      <w:hyperlink r:id="rId9" w:history="1">
        <w:r w:rsidR="00041F80">
          <w:rPr>
            <w:rStyle w:val="Hyperlink"/>
          </w:rPr>
          <w:t>tenders@mercycorps.org</w:t>
        </w:r>
      </w:hyperlink>
    </w:p>
    <w:p w:rsidR="001B082B" w:rsidRPr="00536F8E" w:rsidRDefault="001B082B" w:rsidP="00536F8E">
      <w:pPr>
        <w:numPr>
          <w:ilvl w:val="0"/>
          <w:numId w:val="4"/>
        </w:numPr>
        <w:autoSpaceDE w:val="0"/>
        <w:autoSpaceDN w:val="0"/>
        <w:ind w:left="1080"/>
        <w:jc w:val="both"/>
        <w:rPr>
          <w:rFonts w:eastAsia="Arial"/>
        </w:rPr>
      </w:pPr>
      <w:r w:rsidRPr="00536F8E">
        <w:rPr>
          <w:rFonts w:eastAsia="Arial"/>
        </w:rPr>
        <w:t xml:space="preserve">Technical questions can be sent to </w:t>
      </w:r>
      <w:hyperlink r:id="rId10">
        <w:r w:rsidRPr="00536F8E">
          <w:rPr>
            <w:rFonts w:eastAsia="Arial"/>
          </w:rPr>
          <w:t>cragazzi@mercycorps.org</w:t>
        </w:r>
      </w:hyperlink>
      <w:r w:rsidRPr="00536F8E">
        <w:rPr>
          <w:rFonts w:eastAsia="Arial"/>
        </w:rPr>
        <w:t xml:space="preserve"> ; and only till May 11th 2020;</w:t>
      </w:r>
    </w:p>
    <w:p w:rsidR="001B082B" w:rsidRPr="00536F8E" w:rsidRDefault="001B082B" w:rsidP="004F52FD">
      <w:pPr>
        <w:numPr>
          <w:ilvl w:val="0"/>
          <w:numId w:val="4"/>
        </w:numPr>
        <w:autoSpaceDE w:val="0"/>
        <w:autoSpaceDN w:val="0"/>
        <w:ind w:left="1080"/>
        <w:jc w:val="both"/>
        <w:rPr>
          <w:color w:val="000000"/>
        </w:rPr>
      </w:pPr>
      <w:r w:rsidRPr="00536F8E">
        <w:rPr>
          <w:rFonts w:eastAsia="Arial"/>
        </w:rPr>
        <w:t>Failure to comply with any of the conditions indicated above will result in automatic rejection;</w:t>
      </w:r>
    </w:p>
    <w:p w:rsidR="00536F8E" w:rsidRPr="001B082B" w:rsidRDefault="00536F8E" w:rsidP="00536F8E">
      <w:pPr>
        <w:numPr>
          <w:ilvl w:val="0"/>
          <w:numId w:val="12"/>
        </w:numPr>
        <w:autoSpaceDE w:val="0"/>
        <w:autoSpaceDN w:val="0"/>
        <w:adjustRightInd w:val="0"/>
        <w:jc w:val="both"/>
        <w:rPr>
          <w:color w:val="000000"/>
        </w:rPr>
      </w:pPr>
      <w:r w:rsidRPr="001B082B">
        <w:rPr>
          <w:color w:val="000000"/>
          <w:lang w:val="en"/>
        </w:rPr>
        <w:t>Mercy Corps reserves the right to reject the  bid fully or partially;</w:t>
      </w:r>
    </w:p>
    <w:p w:rsidR="00536F8E" w:rsidRPr="001B082B" w:rsidRDefault="00536F8E" w:rsidP="00536F8E">
      <w:pPr>
        <w:pStyle w:val="ListParagraph"/>
        <w:numPr>
          <w:ilvl w:val="0"/>
          <w:numId w:val="12"/>
        </w:numPr>
        <w:autoSpaceDE w:val="0"/>
        <w:autoSpaceDN w:val="0"/>
        <w:spacing w:after="0" w:line="240" w:lineRule="auto"/>
        <w:jc w:val="both"/>
        <w:rPr>
          <w:rFonts w:ascii="Times New Roman" w:hAnsi="Times New Roman"/>
          <w:color w:val="000000"/>
          <w:sz w:val="24"/>
          <w:szCs w:val="24"/>
        </w:rPr>
      </w:pPr>
      <w:r w:rsidRPr="001B082B">
        <w:rPr>
          <w:rFonts w:ascii="Times New Roman" w:hAnsi="Times New Roman"/>
          <w:color w:val="000000"/>
          <w:sz w:val="24"/>
          <w:szCs w:val="24"/>
          <w:lang w:val="en"/>
        </w:rPr>
        <w:t>Bids received after this date may not be considered.</w:t>
      </w:r>
    </w:p>
    <w:p w:rsidR="006203CA" w:rsidRPr="001B082B" w:rsidRDefault="006203CA">
      <w:pPr>
        <w:spacing w:line="276" w:lineRule="auto"/>
        <w:rPr>
          <w:rFonts w:eastAsia="Arial"/>
        </w:rPr>
      </w:pPr>
    </w:p>
    <w:sectPr w:rsidR="006203CA" w:rsidRPr="001B082B">
      <w:footerReference w:type="default" r:id="rId11"/>
      <w:headerReference w:type="first" r:id="rId12"/>
      <w:footerReference w:type="first" r:id="rId13"/>
      <w:pgSz w:w="12240" w:h="15840"/>
      <w:pgMar w:top="1440" w:right="1077" w:bottom="1134"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F6C" w:rsidRDefault="00DC4F6C">
      <w:r>
        <w:separator/>
      </w:r>
    </w:p>
  </w:endnote>
  <w:endnote w:type="continuationSeparator" w:id="0">
    <w:p w:rsidR="00DC4F6C" w:rsidRDefault="00DC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41F80">
      <w:rPr>
        <w:rFonts w:ascii="Arial" w:eastAsia="Arial" w:hAnsi="Arial" w:cs="Arial"/>
        <w:noProof/>
        <w:color w:val="000000"/>
        <w:sz w:val="20"/>
        <w:szCs w:val="20"/>
      </w:rPr>
      <w:t>2</w:t>
    </w:r>
    <w:r>
      <w:rPr>
        <w:rFonts w:ascii="Arial" w:eastAsia="Arial" w:hAnsi="Arial" w:cs="Arial"/>
        <w:color w:val="000000"/>
        <w:sz w:val="20"/>
        <w:szCs w:val="20"/>
      </w:rPr>
      <w:fldChar w:fldCharType="end"/>
    </w:r>
  </w:p>
  <w:p w:rsidR="006203CA" w:rsidRDefault="006203C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C4F6C">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6203CA" w:rsidRDefault="006203CA">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F6C" w:rsidRDefault="00DC4F6C">
      <w:r>
        <w:separator/>
      </w:r>
    </w:p>
  </w:footnote>
  <w:footnote w:type="continuationSeparator" w:id="0">
    <w:p w:rsidR="00DC4F6C" w:rsidRDefault="00DC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Style w:val="Title"/>
      <w:rPr>
        <w:color w:val="FF0000"/>
        <w:sz w:val="28"/>
        <w:szCs w:val="28"/>
      </w:rPr>
    </w:pPr>
    <w:r>
      <w:rPr>
        <w:noProof/>
        <w:lang w:eastAsia="en-US"/>
      </w:rPr>
      <w:drawing>
        <wp:anchor distT="0" distB="0" distL="114300" distR="114300" simplePos="0" relativeHeight="251658240" behindDoc="0" locked="0" layoutInCell="1" hidden="0" allowOverlap="1">
          <wp:simplePos x="0" y="0"/>
          <wp:positionH relativeFrom="column">
            <wp:posOffset>2485390</wp:posOffset>
          </wp:positionH>
          <wp:positionV relativeFrom="paragraph">
            <wp:posOffset>-215264</wp:posOffset>
          </wp:positionV>
          <wp:extent cx="1352550" cy="428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2550" cy="428625"/>
                  </a:xfrm>
                  <a:prstGeom prst="rect">
                    <a:avLst/>
                  </a:prstGeom>
                  <a:ln/>
                </pic:spPr>
              </pic:pic>
            </a:graphicData>
          </a:graphic>
        </wp:anchor>
      </w:drawing>
    </w:r>
  </w:p>
  <w:p w:rsidR="006203CA" w:rsidRDefault="006203CA">
    <w:pPr>
      <w:pStyle w:val="Title"/>
      <w:rPr>
        <w:b w:val="0"/>
        <w:sz w:val="36"/>
        <w:szCs w:val="36"/>
      </w:rPr>
    </w:pPr>
  </w:p>
  <w:p w:rsidR="006203CA" w:rsidRDefault="00D750F6">
    <w:pPr>
      <w:pStyle w:val="Title"/>
      <w:rPr>
        <w:rFonts w:ascii="Arial" w:eastAsia="Arial" w:hAnsi="Arial" w:cs="Arial"/>
        <w:color w:val="000000"/>
        <w:sz w:val="40"/>
        <w:szCs w:val="40"/>
        <w:u w:val="single"/>
      </w:rPr>
    </w:pPr>
    <w:r>
      <w:rPr>
        <w:rFonts w:ascii="Arial" w:eastAsia="Arial" w:hAnsi="Arial" w:cs="Arial"/>
        <w:color w:val="000000"/>
        <w:sz w:val="40"/>
        <w:szCs w:val="40"/>
        <w:u w:val="single"/>
      </w:rPr>
      <w:t>Request for Proposal</w:t>
    </w:r>
  </w:p>
  <w:p w:rsidR="006203CA" w:rsidRDefault="006203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46EB"/>
    <w:multiLevelType w:val="multilevel"/>
    <w:tmpl w:val="EA926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270E6"/>
    <w:multiLevelType w:val="multilevel"/>
    <w:tmpl w:val="F620B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482B3E"/>
    <w:multiLevelType w:val="multilevel"/>
    <w:tmpl w:val="66B210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65909EA"/>
    <w:multiLevelType w:val="multilevel"/>
    <w:tmpl w:val="232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E40F46"/>
    <w:multiLevelType w:val="multilevel"/>
    <w:tmpl w:val="62749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821AA2"/>
    <w:multiLevelType w:val="multilevel"/>
    <w:tmpl w:val="C674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022A57"/>
    <w:multiLevelType w:val="multilevel"/>
    <w:tmpl w:val="3000C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9C3ED4"/>
    <w:multiLevelType w:val="multilevel"/>
    <w:tmpl w:val="0806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1E77D7"/>
    <w:multiLevelType w:val="multilevel"/>
    <w:tmpl w:val="6A084880"/>
    <w:lvl w:ilvl="0">
      <w:start w:val="1"/>
      <w:numFmt w:val="bullet"/>
      <w:lvlText w:val="●"/>
      <w:lvlJc w:val="left"/>
      <w:pPr>
        <w:ind w:left="720" w:hanging="360"/>
      </w:pPr>
      <w:rPr>
        <w:vertAlign w:val="baseline"/>
      </w:rPr>
    </w:lvl>
    <w:lvl w:ilvl="1">
      <w:start w:val="1"/>
      <w:numFmt w:val="decimal"/>
      <w:lvlText w:val="Objective %2."/>
      <w:lvlJc w:val="left"/>
      <w:pPr>
        <w:ind w:left="720" w:hanging="360"/>
      </w:pPr>
      <w:rPr>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080" w:hanging="72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440" w:hanging="108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1800" w:hanging="1440"/>
      </w:pPr>
      <w:rPr>
        <w:vertAlign w:val="baseline"/>
      </w:rPr>
    </w:lvl>
    <w:lvl w:ilvl="8">
      <w:start w:val="1"/>
      <w:numFmt w:val="decimal"/>
      <w:lvlText w:val="●.%2.%3.%4.%5.%6.%7.%8.%9."/>
      <w:lvlJc w:val="left"/>
      <w:pPr>
        <w:ind w:left="2160" w:hanging="1800"/>
      </w:pPr>
      <w:rPr>
        <w:vertAlign w:val="baseline"/>
      </w:rPr>
    </w:lvl>
  </w:abstractNum>
  <w:abstractNum w:abstractNumId="9" w15:restartNumberingAfterBreak="0">
    <w:nsid w:val="6CA848DE"/>
    <w:multiLevelType w:val="multilevel"/>
    <w:tmpl w:val="5B146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3BD632E"/>
    <w:multiLevelType w:val="multilevel"/>
    <w:tmpl w:val="2ABCD7D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9DB079B"/>
    <w:multiLevelType w:val="hybridMultilevel"/>
    <w:tmpl w:val="5E985C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10"/>
  </w:num>
  <w:num w:numId="6">
    <w:abstractNumId w:val="7"/>
  </w:num>
  <w:num w:numId="7">
    <w:abstractNumId w:val="6"/>
  </w:num>
  <w:num w:numId="8">
    <w:abstractNumId w:val="4"/>
  </w:num>
  <w:num w:numId="9">
    <w:abstractNumId w:val="8"/>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CA"/>
    <w:rsid w:val="0001487E"/>
    <w:rsid w:val="00041F80"/>
    <w:rsid w:val="00060509"/>
    <w:rsid w:val="0011033D"/>
    <w:rsid w:val="001B082B"/>
    <w:rsid w:val="001F7444"/>
    <w:rsid w:val="003241EA"/>
    <w:rsid w:val="004B7331"/>
    <w:rsid w:val="00536F8E"/>
    <w:rsid w:val="005C74DE"/>
    <w:rsid w:val="006203CA"/>
    <w:rsid w:val="00714927"/>
    <w:rsid w:val="008013B1"/>
    <w:rsid w:val="00A56F05"/>
    <w:rsid w:val="00B11138"/>
    <w:rsid w:val="00C939B5"/>
    <w:rsid w:val="00D750F6"/>
    <w:rsid w:val="00DC4F6C"/>
    <w:rsid w:val="00ED4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64B56-ECB4-4BAD-9636-D427DFF5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9933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Dot pt,No Spacing1,List Paragraph Char Char Char,Indicator Text,List Paragraph1,Numbered Para 1,List Paragraph12,Bullet Points,MAIN CONTENT,Bullet 1,Colorful List - Accent 11,Colored Bullets"/>
    <w:basedOn w:val="Normal"/>
    <w:link w:val="ListParagraphChar"/>
    <w:uiPriority w:val="34"/>
    <w:qFormat/>
    <w:rsid w:val="001B082B"/>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1B082B"/>
    <w:rPr>
      <w:rFonts w:ascii="Calibri" w:hAnsi="Calibri"/>
      <w:sz w:val="22"/>
      <w:szCs w:val="22"/>
      <w:lang w:eastAsia="en-US"/>
    </w:rPr>
  </w:style>
  <w:style w:type="character" w:styleId="Hyperlink">
    <w:name w:val="Hyperlink"/>
    <w:uiPriority w:val="99"/>
    <w:unhideWhenUsed/>
    <w:rsid w:val="001B0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ragazzi@mercycorps.org" TargetMode="External"/><Relationship Id="rId4" Type="http://schemas.openxmlformats.org/officeDocument/2006/relationships/webSettings" Target="webSettings.xml"/><Relationship Id="rId9" Type="http://schemas.openxmlformats.org/officeDocument/2006/relationships/hyperlink" Target="mailto:tenders@mercycorp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10</cp:revision>
  <dcterms:created xsi:type="dcterms:W3CDTF">2020-05-05T13:03:00Z</dcterms:created>
  <dcterms:modified xsi:type="dcterms:W3CDTF">2020-05-06T09:28:00Z</dcterms:modified>
</cp:coreProperties>
</file>