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6565" w14:textId="77777777" w:rsidR="00E33A14" w:rsidRPr="00282DFF" w:rsidRDefault="00E33A14" w:rsidP="00E33A1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a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0"/>
        <w:gridCol w:w="6410"/>
      </w:tblGrid>
      <w:tr w:rsidR="00CB6EF5" w:rsidRPr="00282DFF" w14:paraId="20B14855" w14:textId="77777777" w:rsidTr="00BB1D68">
        <w:trPr>
          <w:trHeight w:val="356"/>
        </w:trPr>
        <w:tc>
          <w:tcPr>
            <w:tcW w:w="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D9811" w14:textId="369A76DF" w:rsidR="00CB6EF5" w:rsidRPr="00282DFF" w:rsidRDefault="00BC573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2DFF">
              <w:rPr>
                <w:rFonts w:asciiTheme="minorHAnsi" w:hAnsiTheme="minorHAnsi" w:cstheme="minorHAnsi"/>
                <w:b/>
                <w:sz w:val="24"/>
                <w:szCs w:val="24"/>
              </w:rPr>
              <w:t>Tender No:</w:t>
            </w:r>
            <w:bookmarkStart w:id="0" w:name="_Hlk82015862"/>
            <w:r w:rsidR="005C2AA6" w:rsidRPr="00282DF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6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FA31D" w14:textId="46D4B0CD" w:rsidR="00CB6EF5" w:rsidRPr="00282DFF" w:rsidRDefault="00592FA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2DFF">
              <w:rPr>
                <w:rFonts w:asciiTheme="minorHAnsi" w:hAnsiTheme="minorHAnsi" w:cstheme="minorHAnsi"/>
                <w:b/>
                <w:sz w:val="24"/>
                <w:szCs w:val="24"/>
              </w:rPr>
              <w:t>MCK-NBO-INS-022-008</w:t>
            </w:r>
          </w:p>
        </w:tc>
      </w:tr>
      <w:tr w:rsidR="00CB6EF5" w:rsidRPr="00282DFF" w14:paraId="3FA1210E" w14:textId="77777777" w:rsidTr="00BB1D68">
        <w:trPr>
          <w:trHeight w:val="356"/>
        </w:trPr>
        <w:tc>
          <w:tcPr>
            <w:tcW w:w="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B294" w14:textId="062929AB" w:rsidR="00CB6EF5" w:rsidRPr="00282DFF" w:rsidRDefault="00BC573A" w:rsidP="00C2105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2DFF">
              <w:rPr>
                <w:rFonts w:asciiTheme="minorHAnsi" w:hAnsiTheme="minorHAnsi" w:cstheme="minorHAnsi"/>
                <w:b/>
                <w:sz w:val="24"/>
                <w:szCs w:val="24"/>
              </w:rPr>
              <w:t>Tender Name:</w:t>
            </w:r>
            <w:r w:rsidR="00E37641" w:rsidRPr="00282DF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92FA6" w:rsidRPr="00282DFF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PROVISION OF INSURANCE SERVICES –UNDERWRITTER FIRMS ONLY (GMC, GLA/GPA/WIBA &amp; MOTOR VEHICLE)</w:t>
            </w:r>
          </w:p>
        </w:tc>
        <w:tc>
          <w:tcPr>
            <w:tcW w:w="6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FBF78" w14:textId="668F90CC" w:rsidR="00CB6EF5" w:rsidRPr="00282DFF" w:rsidRDefault="00BC573A" w:rsidP="0012381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2DFF">
              <w:rPr>
                <w:rFonts w:asciiTheme="minorHAnsi" w:hAnsiTheme="minorHAnsi" w:cstheme="minorHAnsi"/>
                <w:b/>
                <w:sz w:val="24"/>
                <w:szCs w:val="24"/>
              </w:rPr>
              <w:t>Date Issued:</w:t>
            </w:r>
            <w:r w:rsidR="00F30C7B" w:rsidRPr="00282DF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92FA6" w:rsidRPr="00282DFF"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  <w:r w:rsidR="00592FA6" w:rsidRPr="00282DFF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th</w:t>
            </w:r>
            <w:r w:rsidR="00592FA6" w:rsidRPr="00282DF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October</w:t>
            </w:r>
            <w:r w:rsidR="00C275BE" w:rsidRPr="00282DF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2022</w:t>
            </w:r>
          </w:p>
        </w:tc>
      </w:tr>
    </w:tbl>
    <w:p w14:paraId="7EF7B969" w14:textId="77777777" w:rsidR="00BB1D68" w:rsidRPr="00282DFF" w:rsidRDefault="00BB1D68" w:rsidP="002848E7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48728BA0" w14:textId="14F47943" w:rsidR="00E37641" w:rsidRPr="00282DFF" w:rsidRDefault="00CC0EF7" w:rsidP="002848E7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>This provides answers to qu</w:t>
      </w:r>
      <w:r w:rsidR="00F30C7B"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>er</w:t>
      </w:r>
      <w:r w:rsidR="00592FA6"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>ies</w:t>
      </w:r>
      <w:r w:rsidR="00F30C7B"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raised </w:t>
      </w:r>
      <w:r w:rsidR="00B90FB5"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by </w:t>
      </w:r>
      <w:r w:rsidR="00F30C7B"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>bidder</w:t>
      </w:r>
      <w:r w:rsidR="00592FA6"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>s about the above subject tender</w:t>
      </w:r>
      <w:r w:rsidR="00B90FB5"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>.</w:t>
      </w:r>
      <w:r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The responses are posted </w:t>
      </w:r>
      <w:r w:rsidR="001E2516"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on website </w:t>
      </w:r>
      <w:r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for </w:t>
      </w:r>
      <w:r w:rsidR="00690277"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>access</w:t>
      </w:r>
      <w:r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="00690277"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by </w:t>
      </w:r>
      <w:r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>all prospective bidders and does not disclose</w:t>
      </w:r>
      <w:r w:rsidR="00572DEA"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the source</w:t>
      </w:r>
      <w:r w:rsidR="00BA1D3C"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>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16"/>
        <w:gridCol w:w="5259"/>
        <w:gridCol w:w="4320"/>
      </w:tblGrid>
      <w:tr w:rsidR="00237E0D" w:rsidRPr="00282DFF" w14:paraId="724E48BA" w14:textId="77777777" w:rsidTr="00BB1D68">
        <w:trPr>
          <w:trHeight w:val="476"/>
        </w:trPr>
        <w:tc>
          <w:tcPr>
            <w:tcW w:w="1216" w:type="dxa"/>
          </w:tcPr>
          <w:p w14:paraId="6D635B34" w14:textId="77777777" w:rsidR="00E37641" w:rsidRPr="00282DFF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82DF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No. </w:t>
            </w:r>
          </w:p>
        </w:tc>
        <w:tc>
          <w:tcPr>
            <w:tcW w:w="5259" w:type="dxa"/>
          </w:tcPr>
          <w:p w14:paraId="17AED12E" w14:textId="77777777" w:rsidR="00E37641" w:rsidRPr="00282DFF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</w:pPr>
            <w:r w:rsidRPr="00282DFF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 xml:space="preserve">Question </w:t>
            </w:r>
          </w:p>
        </w:tc>
        <w:tc>
          <w:tcPr>
            <w:tcW w:w="4320" w:type="dxa"/>
          </w:tcPr>
          <w:p w14:paraId="289B8BC8" w14:textId="77777777" w:rsidR="00E37641" w:rsidRPr="00282DFF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</w:pPr>
            <w:r w:rsidRPr="00282DFF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 xml:space="preserve">Response </w:t>
            </w:r>
          </w:p>
        </w:tc>
      </w:tr>
      <w:tr w:rsidR="00E33A14" w:rsidRPr="00282DFF" w14:paraId="439867BA" w14:textId="77777777" w:rsidTr="00BB1D68">
        <w:tc>
          <w:tcPr>
            <w:tcW w:w="1216" w:type="dxa"/>
          </w:tcPr>
          <w:p w14:paraId="4048F5F1" w14:textId="77777777" w:rsidR="00E37641" w:rsidRPr="00282DFF" w:rsidRDefault="00E37641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82DF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5259" w:type="dxa"/>
          </w:tcPr>
          <w:p w14:paraId="75301F3F" w14:textId="77777777" w:rsidR="00592FA6" w:rsidRPr="00282DFF" w:rsidRDefault="00592FA6" w:rsidP="00592F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282DFF">
              <w:rPr>
                <w:rFonts w:asciiTheme="minorHAnsi" w:hAnsiTheme="minorHAnsi" w:cstheme="minorHAnsi"/>
                <w:sz w:val="24"/>
                <w:szCs w:val="24"/>
              </w:rPr>
              <w:t>Kindly confirm that insurance intermediaries are not allowed to participate in this tender.</w:t>
            </w:r>
          </w:p>
          <w:p w14:paraId="5F2F433A" w14:textId="22C831ED" w:rsidR="00E37641" w:rsidRPr="00282DFF" w:rsidRDefault="00E37641" w:rsidP="00425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Calibri" w:hAnsiTheme="minorHAnsi" w:cstheme="minorHAns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</w:tcPr>
          <w:p w14:paraId="540A6DB4" w14:textId="77777777" w:rsidR="00592FA6" w:rsidRPr="00282DFF" w:rsidRDefault="00592FA6" w:rsidP="00592FA6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282DF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Only underwriters are allowed to participate in this tender. </w:t>
            </w:r>
          </w:p>
          <w:p w14:paraId="3332EC1A" w14:textId="2B96D231" w:rsidR="00CF1CEA" w:rsidRPr="00282DFF" w:rsidRDefault="00CF1CEA" w:rsidP="00237E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33A14" w:rsidRPr="00282DFF" w14:paraId="2B05DFD0" w14:textId="77777777" w:rsidTr="00BB1D68">
        <w:tc>
          <w:tcPr>
            <w:tcW w:w="1216" w:type="dxa"/>
          </w:tcPr>
          <w:p w14:paraId="736ED1A3" w14:textId="1B67FB24" w:rsidR="00237E0D" w:rsidRPr="00282DFF" w:rsidRDefault="00237E0D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82DF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5259" w:type="dxa"/>
          </w:tcPr>
          <w:p w14:paraId="59D70271" w14:textId="77777777" w:rsidR="00592FA6" w:rsidRPr="00282DFF" w:rsidRDefault="00592FA6" w:rsidP="00592F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282DFF">
              <w:rPr>
                <w:rFonts w:asciiTheme="minorHAnsi" w:hAnsiTheme="minorHAnsi" w:cstheme="minorHAnsi"/>
                <w:sz w:val="24"/>
                <w:szCs w:val="24"/>
              </w:rPr>
              <w:t>We would like to get a clarification if all the classes will be awarded to one underwriter or those not offering GLA can only tender on the classes they underwrite.</w:t>
            </w:r>
          </w:p>
          <w:p w14:paraId="7D6D5A57" w14:textId="1ED7DA1B" w:rsidR="00237E0D" w:rsidRPr="00282DFF" w:rsidRDefault="00237E0D" w:rsidP="004254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</w:tcPr>
          <w:p w14:paraId="0134EBA5" w14:textId="343B03B2" w:rsidR="00592FA6" w:rsidRPr="00282DFF" w:rsidRDefault="00592FA6" w:rsidP="00592FA6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282DF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Each class of insurance as defined in the Request for proposal (RFP) will be evaluated separately and awarded to the highest-ranking underwriter in each c</w:t>
            </w:r>
            <w:r w:rsidR="0051219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ategory</w:t>
            </w:r>
            <w:r w:rsidRPr="00282DF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. Underwriters can only tender for the c</w:t>
            </w:r>
            <w:r w:rsidR="0051219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ategory</w:t>
            </w:r>
            <w:r w:rsidRPr="00282DF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they underwrite.  </w:t>
            </w:r>
          </w:p>
          <w:p w14:paraId="672FACD2" w14:textId="7D38A593" w:rsidR="00237E0D" w:rsidRPr="00282DFF" w:rsidRDefault="00237E0D" w:rsidP="00E62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33A14" w:rsidRPr="00282DFF" w14:paraId="67E43ECC" w14:textId="77777777" w:rsidTr="00BB1D68">
        <w:trPr>
          <w:trHeight w:val="2699"/>
        </w:trPr>
        <w:tc>
          <w:tcPr>
            <w:tcW w:w="1216" w:type="dxa"/>
            <w:hideMark/>
          </w:tcPr>
          <w:p w14:paraId="56B73E2B" w14:textId="79339564" w:rsidR="00E33A14" w:rsidRPr="00282DFF" w:rsidRDefault="00B90FB5" w:rsidP="00B90F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US"/>
              </w:rPr>
            </w:pPr>
            <w:r w:rsidRPr="00282DF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5259" w:type="dxa"/>
            <w:hideMark/>
          </w:tcPr>
          <w:p w14:paraId="305BB24D" w14:textId="2D0C97FF" w:rsidR="00592FA6" w:rsidRPr="00282DFF" w:rsidRDefault="00592FA6" w:rsidP="00592F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  <w:r w:rsidRPr="00282DFF">
              <w:rPr>
                <w:rFonts w:asciiTheme="minorHAnsi" w:hAnsiTheme="minorHAnsi" w:cstheme="minorHAnsi"/>
                <w:sz w:val="24"/>
                <w:szCs w:val="24"/>
              </w:rPr>
              <w:t xml:space="preserve">Our understanding is that Mercy Corps has already procured services of an administrator/broker (MIP) for the medical scheme, therefore clause 7 </w:t>
            </w:r>
            <w:r w:rsidR="00282DFF" w:rsidRPr="00282DFF">
              <w:rPr>
                <w:rFonts w:asciiTheme="minorHAnsi" w:hAnsiTheme="minorHAnsi" w:cstheme="minorHAnsi"/>
                <w:sz w:val="24"/>
                <w:szCs w:val="24"/>
              </w:rPr>
              <w:t>and 8</w:t>
            </w:r>
            <w:r w:rsidRPr="00282DFF">
              <w:rPr>
                <w:rFonts w:asciiTheme="minorHAnsi" w:hAnsiTheme="minorHAnsi" w:cstheme="minorHAnsi"/>
                <w:sz w:val="24"/>
                <w:szCs w:val="24"/>
              </w:rPr>
              <w:t xml:space="preserve"> on page 7, is not relevant on this tender. It would be prudent if this can be clarified to all bidders by way of an addendum.</w:t>
            </w:r>
          </w:p>
          <w:p w14:paraId="4ED8CA6B" w14:textId="45F3ADB4" w:rsidR="00E33A14" w:rsidRPr="00282DFF" w:rsidRDefault="00E33A14" w:rsidP="00E33A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hideMark/>
          </w:tcPr>
          <w:p w14:paraId="288CCABB" w14:textId="75B0285B" w:rsidR="00592FA6" w:rsidRPr="00282DFF" w:rsidRDefault="00592FA6" w:rsidP="00592FA6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282DF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The current contract for medical insurance services is managed by an administrator/ broker whose services were procured</w:t>
            </w:r>
            <w:r w:rsidR="00070C24" w:rsidRPr="00282DF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in December 2020</w:t>
            </w:r>
            <w:r w:rsidRPr="00282DF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and whose contract will expire on 31</w:t>
            </w:r>
            <w:r w:rsidRPr="00282DFF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st</w:t>
            </w:r>
            <w:r w:rsidRPr="00282DF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December 2022</w:t>
            </w:r>
            <w:r w:rsidR="00070C24" w:rsidRPr="00282DF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. </w:t>
            </w:r>
            <w:r w:rsidRPr="00282DF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The Request for Proposal (RFP) that has been advertised is for </w:t>
            </w:r>
            <w:r w:rsidR="00BF72BB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direct services by underwriters (No brokers)</w:t>
            </w:r>
            <w:r w:rsidRPr="00282DF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that will be provided commencing 1</w:t>
            </w:r>
            <w:r w:rsidRPr="00282DFF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st</w:t>
            </w:r>
            <w:r w:rsidRPr="00282DF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January 2023 to 31</w:t>
            </w:r>
            <w:r w:rsidRPr="00282DFF">
              <w:rPr>
                <w:rFonts w:asciiTheme="minorHAnsi" w:hAnsiTheme="minorHAnsi" w:cstheme="minorHAnsi"/>
                <w:color w:val="FF0000"/>
                <w:sz w:val="24"/>
                <w:szCs w:val="24"/>
                <w:vertAlign w:val="superscript"/>
              </w:rPr>
              <w:t>st</w:t>
            </w:r>
            <w:r w:rsidRPr="00282DF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December 2023</w:t>
            </w:r>
            <w:r w:rsidR="00070C24" w:rsidRPr="00282DF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with a possibility of extension for one more year subject to satisfactory performance</w:t>
            </w:r>
            <w:r w:rsidRPr="00282DF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. Therefore, an addendum is not applicable. </w:t>
            </w:r>
          </w:p>
          <w:p w14:paraId="6DDA39B1" w14:textId="53275FA3" w:rsidR="00E33A14" w:rsidRPr="00282DFF" w:rsidRDefault="00E33A14" w:rsidP="00E33A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33A14" w:rsidRPr="00282DFF" w14:paraId="352B1E74" w14:textId="77777777" w:rsidTr="00070C24">
        <w:trPr>
          <w:trHeight w:val="740"/>
        </w:trPr>
        <w:tc>
          <w:tcPr>
            <w:tcW w:w="1216" w:type="dxa"/>
            <w:hideMark/>
          </w:tcPr>
          <w:p w14:paraId="3A4A0FEC" w14:textId="17CDA1F7" w:rsidR="00E33A14" w:rsidRPr="00282DFF" w:rsidRDefault="00B90FB5" w:rsidP="00B90F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US"/>
              </w:rPr>
            </w:pPr>
            <w:r w:rsidRPr="00282DF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US"/>
              </w:rPr>
              <w:t>4</w:t>
            </w:r>
            <w:r w:rsidR="00E33A14" w:rsidRPr="00282DF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259" w:type="dxa"/>
            <w:hideMark/>
          </w:tcPr>
          <w:p w14:paraId="1019E9DD" w14:textId="77777777" w:rsidR="00070C24" w:rsidRPr="00512191" w:rsidRDefault="00070C24" w:rsidP="00070C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121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The scope of cover under group life is not indicated in the RFP.</w:t>
            </w:r>
          </w:p>
          <w:p w14:paraId="46519538" w14:textId="4F8A84EA" w:rsidR="00E33A14" w:rsidRPr="00282DFF" w:rsidRDefault="00E33A14" w:rsidP="00E33A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</w:tcPr>
          <w:p w14:paraId="42D65FEF" w14:textId="625D0970" w:rsidR="00E33A14" w:rsidRPr="00282DFF" w:rsidRDefault="00512191" w:rsidP="00E33A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512191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en-US"/>
              </w:rPr>
              <w:t xml:space="preserve">Underwriters are requested to </w:t>
            </w:r>
            <w:r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en-US"/>
              </w:rPr>
              <w:t xml:space="preserve">make </w:t>
            </w:r>
            <w:r w:rsidRPr="00512191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en-US"/>
              </w:rPr>
              <w:t>propos</w:t>
            </w:r>
            <w:r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en-US"/>
              </w:rPr>
              <w:t>als</w:t>
            </w:r>
            <w:r w:rsidRPr="00512191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en-US"/>
              </w:rPr>
              <w:t xml:space="preserve"> as per </w:t>
            </w:r>
            <w:r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en-US"/>
              </w:rPr>
              <w:t xml:space="preserve">the general </w:t>
            </w:r>
            <w:r w:rsidRPr="00512191"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val="en-US"/>
              </w:rPr>
              <w:t>scope of work indicated in the RFP on page 21</w:t>
            </w:r>
          </w:p>
        </w:tc>
      </w:tr>
      <w:tr w:rsidR="00E33A14" w:rsidRPr="00282DFF" w14:paraId="20A93495" w14:textId="77777777" w:rsidTr="00BB1D68">
        <w:trPr>
          <w:trHeight w:val="580"/>
        </w:trPr>
        <w:tc>
          <w:tcPr>
            <w:tcW w:w="1216" w:type="dxa"/>
            <w:hideMark/>
          </w:tcPr>
          <w:p w14:paraId="523C1EAF" w14:textId="2687A09F" w:rsidR="00E33A14" w:rsidRPr="00282DFF" w:rsidRDefault="00B90FB5" w:rsidP="00B90F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US"/>
              </w:rPr>
            </w:pPr>
            <w:r w:rsidRPr="00282DF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US"/>
              </w:rPr>
              <w:t>5</w:t>
            </w:r>
            <w:r w:rsidR="00E33A14" w:rsidRPr="00282DFF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5259" w:type="dxa"/>
            <w:hideMark/>
          </w:tcPr>
          <w:p w14:paraId="12B3E068" w14:textId="77777777" w:rsidR="00070C24" w:rsidRPr="00282DFF" w:rsidRDefault="00070C24" w:rsidP="00070C2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282DFF">
              <w:rPr>
                <w:rFonts w:asciiTheme="minorHAnsi" w:hAnsiTheme="minorHAnsi" w:cstheme="minorHAnsi"/>
                <w:sz w:val="24"/>
                <w:szCs w:val="24"/>
              </w:rPr>
              <w:t xml:space="preserve">Please advise on the validity period of the tender security requested, we however note that the offer </w:t>
            </w:r>
            <w:r w:rsidRPr="00282DF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should be valid for 180 days. Should the tender security also be valid for 180 days?</w:t>
            </w:r>
          </w:p>
          <w:p w14:paraId="6771F18B" w14:textId="252EE27F" w:rsidR="00E33A14" w:rsidRPr="00282DFF" w:rsidRDefault="00E33A14" w:rsidP="00E33A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320" w:type="dxa"/>
            <w:hideMark/>
          </w:tcPr>
          <w:p w14:paraId="711A05B0" w14:textId="76973ED8" w:rsidR="00070C24" w:rsidRPr="00282DFF" w:rsidRDefault="007914C1" w:rsidP="00070C2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lastRenderedPageBreak/>
              <w:t xml:space="preserve">Yes. </w:t>
            </w:r>
            <w:r w:rsidR="00070C24" w:rsidRPr="00282DF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180days</w:t>
            </w:r>
          </w:p>
          <w:p w14:paraId="194C56C3" w14:textId="69BF75E0" w:rsidR="00E33A14" w:rsidRPr="00282DFF" w:rsidRDefault="00E33A14" w:rsidP="00E33A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7779A950" w14:textId="77777777" w:rsidR="00B27156" w:rsidRPr="00282DFF" w:rsidRDefault="00BC573A" w:rsidP="00833D89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>All other terms and conditions</w:t>
      </w:r>
      <w:r w:rsidR="007C753D"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in the tender </w:t>
      </w:r>
      <w:r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>remain unchanged.</w:t>
      </w:r>
    </w:p>
    <w:p w14:paraId="7555C75E" w14:textId="1327C33D" w:rsidR="00CB6EF5" w:rsidRPr="00282DFF" w:rsidRDefault="00BC573A" w:rsidP="00833D89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282DFF">
        <w:rPr>
          <w:rFonts w:asciiTheme="minorHAnsi" w:eastAsia="Times New Roman" w:hAnsiTheme="minorHAnsi" w:cstheme="minorHAnsi"/>
          <w:color w:val="auto"/>
          <w:sz w:val="24"/>
          <w:szCs w:val="24"/>
        </w:rPr>
        <w:t>*************************</w:t>
      </w:r>
    </w:p>
    <w:sectPr w:rsidR="00CB6EF5" w:rsidRPr="00282DFF" w:rsidSect="00EE03AA">
      <w:headerReference w:type="default" r:id="rId7"/>
      <w:footerReference w:type="default" r:id="rId8"/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93CF7" w14:textId="77777777" w:rsidR="0002708A" w:rsidRDefault="0002708A">
      <w:pPr>
        <w:spacing w:after="0" w:line="240" w:lineRule="auto"/>
      </w:pPr>
      <w:r>
        <w:separator/>
      </w:r>
    </w:p>
  </w:endnote>
  <w:endnote w:type="continuationSeparator" w:id="0">
    <w:p w14:paraId="2CCDA3CC" w14:textId="77777777" w:rsidR="0002708A" w:rsidRDefault="00027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47201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111EC1D" w14:textId="77777777" w:rsidR="00A40E62" w:rsidRDefault="00A40E6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0E3" w:rsidRPr="001930E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79BCF81" w14:textId="77777777" w:rsidR="00A40E62" w:rsidRDefault="00A40E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A6C9A" w14:textId="77777777" w:rsidR="0002708A" w:rsidRDefault="0002708A">
      <w:pPr>
        <w:spacing w:after="0" w:line="240" w:lineRule="auto"/>
      </w:pPr>
      <w:r>
        <w:separator/>
      </w:r>
    </w:p>
  </w:footnote>
  <w:footnote w:type="continuationSeparator" w:id="0">
    <w:p w14:paraId="52DD3920" w14:textId="77777777" w:rsidR="0002708A" w:rsidRDefault="00027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DECD" w14:textId="77777777" w:rsidR="00CB6EF5" w:rsidRDefault="00BC573A">
    <w:pPr>
      <w:pStyle w:val="Title"/>
      <w:spacing w:before="0" w:after="0"/>
      <w:rPr>
        <w:sz w:val="36"/>
        <w:szCs w:val="36"/>
      </w:rPr>
    </w:pPr>
    <w:bookmarkStart w:id="1" w:name="_fxpprzt9v65c" w:colFirst="0" w:colLast="0"/>
    <w:bookmarkEnd w:id="1"/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38C2CFF0" wp14:editId="24AFEF0C">
          <wp:simplePos x="0" y="0"/>
          <wp:positionH relativeFrom="margin">
            <wp:posOffset>6105525</wp:posOffset>
          </wp:positionH>
          <wp:positionV relativeFrom="paragraph">
            <wp:posOffset>17780</wp:posOffset>
          </wp:positionV>
          <wp:extent cx="638175" cy="800100"/>
          <wp:effectExtent l="0" t="0" r="9525" b="0"/>
          <wp:wrapSquare wrapText="bothSides" distT="114300" distB="114300" distL="114300" distR="114300"/>
          <wp:docPr id="1" name="image2.jpg" descr="MC Logo Vertic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C Logo Vertic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F0F3C22" w14:textId="0E663BF8" w:rsidR="00CB6EF5" w:rsidRDefault="00CC0EF7">
    <w:pPr>
      <w:pStyle w:val="Title"/>
      <w:spacing w:before="0" w:after="0" w:line="240" w:lineRule="auto"/>
      <w:rPr>
        <w:sz w:val="36"/>
        <w:szCs w:val="36"/>
      </w:rPr>
    </w:pPr>
    <w:bookmarkStart w:id="2" w:name="_j8ygr4y4rt81" w:colFirst="0" w:colLast="0"/>
    <w:bookmarkEnd w:id="2"/>
    <w:r>
      <w:rPr>
        <w:sz w:val="36"/>
        <w:szCs w:val="36"/>
      </w:rPr>
      <w:t xml:space="preserve">Responses </w:t>
    </w:r>
    <w:r w:rsidR="00622372">
      <w:rPr>
        <w:sz w:val="36"/>
        <w:szCs w:val="36"/>
      </w:rPr>
      <w:t xml:space="preserve">to Questions - </w:t>
    </w:r>
    <w:r>
      <w:rPr>
        <w:sz w:val="36"/>
        <w:szCs w:val="36"/>
      </w:rPr>
      <w:t xml:space="preserve">Tender No. </w:t>
    </w:r>
    <w:r w:rsidR="00B90FB5">
      <w:rPr>
        <w:sz w:val="36"/>
        <w:szCs w:val="36"/>
      </w:rPr>
      <w:t>MCK-</w:t>
    </w:r>
    <w:r w:rsidR="008C6D03">
      <w:rPr>
        <w:sz w:val="36"/>
        <w:szCs w:val="36"/>
      </w:rPr>
      <w:t>NBO-INS-022-00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48A2"/>
    <w:multiLevelType w:val="hybridMultilevel"/>
    <w:tmpl w:val="5D0ACB82"/>
    <w:lvl w:ilvl="0" w:tplc="1A44FE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4580"/>
    <w:multiLevelType w:val="multilevel"/>
    <w:tmpl w:val="EB0A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A2BAF"/>
    <w:multiLevelType w:val="multilevel"/>
    <w:tmpl w:val="406C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30FE4"/>
    <w:multiLevelType w:val="hybridMultilevel"/>
    <w:tmpl w:val="B3206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30E6"/>
    <w:multiLevelType w:val="multilevel"/>
    <w:tmpl w:val="3FE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64723"/>
    <w:multiLevelType w:val="multilevel"/>
    <w:tmpl w:val="EB0A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B4426D"/>
    <w:multiLevelType w:val="hybridMultilevel"/>
    <w:tmpl w:val="1564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B447DC"/>
    <w:multiLevelType w:val="hybridMultilevel"/>
    <w:tmpl w:val="A5540C8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806A4"/>
    <w:multiLevelType w:val="hybridMultilevel"/>
    <w:tmpl w:val="7CAA2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427C6"/>
    <w:multiLevelType w:val="hybridMultilevel"/>
    <w:tmpl w:val="1FC42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A6B69"/>
    <w:multiLevelType w:val="multilevel"/>
    <w:tmpl w:val="EB0A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5A25B4"/>
    <w:multiLevelType w:val="multilevel"/>
    <w:tmpl w:val="406C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394FAC"/>
    <w:multiLevelType w:val="multilevel"/>
    <w:tmpl w:val="9C64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370BA7"/>
    <w:multiLevelType w:val="hybridMultilevel"/>
    <w:tmpl w:val="69A0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A5376"/>
    <w:multiLevelType w:val="multilevel"/>
    <w:tmpl w:val="5CFA4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5E7DE1"/>
    <w:multiLevelType w:val="hybridMultilevel"/>
    <w:tmpl w:val="44F01674"/>
    <w:lvl w:ilvl="0" w:tplc="802489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C6E7D"/>
    <w:multiLevelType w:val="multilevel"/>
    <w:tmpl w:val="406C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D05A51"/>
    <w:multiLevelType w:val="multilevel"/>
    <w:tmpl w:val="406C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E30D97"/>
    <w:multiLevelType w:val="hybridMultilevel"/>
    <w:tmpl w:val="F2A06F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60BDA"/>
    <w:multiLevelType w:val="multilevel"/>
    <w:tmpl w:val="C70E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4D12AA"/>
    <w:multiLevelType w:val="multilevel"/>
    <w:tmpl w:val="EB0A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5523826">
    <w:abstractNumId w:val="9"/>
  </w:num>
  <w:num w:numId="2" w16cid:durableId="12392931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85948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986493">
    <w:abstractNumId w:val="0"/>
  </w:num>
  <w:num w:numId="5" w16cid:durableId="1070157105">
    <w:abstractNumId w:val="19"/>
  </w:num>
  <w:num w:numId="6" w16cid:durableId="1977681284">
    <w:abstractNumId w:val="12"/>
  </w:num>
  <w:num w:numId="7" w16cid:durableId="6941868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698555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29051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7568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4472807">
    <w:abstractNumId w:val="17"/>
  </w:num>
  <w:num w:numId="12" w16cid:durableId="894776566">
    <w:abstractNumId w:val="16"/>
  </w:num>
  <w:num w:numId="13" w16cid:durableId="798187139">
    <w:abstractNumId w:val="11"/>
  </w:num>
  <w:num w:numId="14" w16cid:durableId="1146243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5642283">
    <w:abstractNumId w:val="10"/>
  </w:num>
  <w:num w:numId="16" w16cid:durableId="1499811257">
    <w:abstractNumId w:val="20"/>
  </w:num>
  <w:num w:numId="17" w16cid:durableId="1569535723">
    <w:abstractNumId w:val="5"/>
  </w:num>
  <w:num w:numId="18" w16cid:durableId="1188328033">
    <w:abstractNumId w:val="13"/>
  </w:num>
  <w:num w:numId="19" w16cid:durableId="1994986280">
    <w:abstractNumId w:val="15"/>
  </w:num>
  <w:num w:numId="20" w16cid:durableId="1188056390">
    <w:abstractNumId w:val="8"/>
  </w:num>
  <w:num w:numId="21" w16cid:durableId="1140536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2MTQyNzQ3NjMyMLVU0lEKTi0uzszPAykwqgUAANDk+SwAAAA="/>
  </w:docVars>
  <w:rsids>
    <w:rsidRoot w:val="00CB6EF5"/>
    <w:rsid w:val="00013698"/>
    <w:rsid w:val="0002708A"/>
    <w:rsid w:val="00070C24"/>
    <w:rsid w:val="00096E13"/>
    <w:rsid w:val="000C3958"/>
    <w:rsid w:val="000D132F"/>
    <w:rsid w:val="00123814"/>
    <w:rsid w:val="00171D27"/>
    <w:rsid w:val="001930E3"/>
    <w:rsid w:val="001B281D"/>
    <w:rsid w:val="001C735F"/>
    <w:rsid w:val="001D15C2"/>
    <w:rsid w:val="001E2516"/>
    <w:rsid w:val="001E496D"/>
    <w:rsid w:val="002130BA"/>
    <w:rsid w:val="002162EF"/>
    <w:rsid w:val="00221A95"/>
    <w:rsid w:val="00230A44"/>
    <w:rsid w:val="00237E0D"/>
    <w:rsid w:val="002474E5"/>
    <w:rsid w:val="0026719D"/>
    <w:rsid w:val="0027308F"/>
    <w:rsid w:val="00282DFF"/>
    <w:rsid w:val="002848E7"/>
    <w:rsid w:val="002B4D1A"/>
    <w:rsid w:val="002C4FDB"/>
    <w:rsid w:val="002D42A7"/>
    <w:rsid w:val="002E64E6"/>
    <w:rsid w:val="00333C94"/>
    <w:rsid w:val="00356920"/>
    <w:rsid w:val="0042478C"/>
    <w:rsid w:val="004254A7"/>
    <w:rsid w:val="00441160"/>
    <w:rsid w:val="00445862"/>
    <w:rsid w:val="00472D18"/>
    <w:rsid w:val="004745E8"/>
    <w:rsid w:val="004762FD"/>
    <w:rsid w:val="004A0998"/>
    <w:rsid w:val="004B6617"/>
    <w:rsid w:val="004F1AE2"/>
    <w:rsid w:val="00512191"/>
    <w:rsid w:val="005349C2"/>
    <w:rsid w:val="005367E9"/>
    <w:rsid w:val="00542BA0"/>
    <w:rsid w:val="00564100"/>
    <w:rsid w:val="00565433"/>
    <w:rsid w:val="00572DEA"/>
    <w:rsid w:val="005858FB"/>
    <w:rsid w:val="00592FA6"/>
    <w:rsid w:val="005C2AA6"/>
    <w:rsid w:val="00606FE5"/>
    <w:rsid w:val="00622372"/>
    <w:rsid w:val="006478B0"/>
    <w:rsid w:val="00690277"/>
    <w:rsid w:val="006D2DC5"/>
    <w:rsid w:val="006E7515"/>
    <w:rsid w:val="006F70AB"/>
    <w:rsid w:val="0072156C"/>
    <w:rsid w:val="007914C1"/>
    <w:rsid w:val="007B43C5"/>
    <w:rsid w:val="007C65C1"/>
    <w:rsid w:val="007C753D"/>
    <w:rsid w:val="007F3524"/>
    <w:rsid w:val="007F502D"/>
    <w:rsid w:val="0080335F"/>
    <w:rsid w:val="00833D89"/>
    <w:rsid w:val="0084793A"/>
    <w:rsid w:val="00873664"/>
    <w:rsid w:val="00875635"/>
    <w:rsid w:val="008C4056"/>
    <w:rsid w:val="008C6B64"/>
    <w:rsid w:val="008C6D03"/>
    <w:rsid w:val="0096136E"/>
    <w:rsid w:val="0099786E"/>
    <w:rsid w:val="009C6B39"/>
    <w:rsid w:val="009F0D3D"/>
    <w:rsid w:val="00A13294"/>
    <w:rsid w:val="00A40E62"/>
    <w:rsid w:val="00A51465"/>
    <w:rsid w:val="00A52884"/>
    <w:rsid w:val="00B06867"/>
    <w:rsid w:val="00B27156"/>
    <w:rsid w:val="00B306BB"/>
    <w:rsid w:val="00B56F0D"/>
    <w:rsid w:val="00B5732B"/>
    <w:rsid w:val="00B90FB5"/>
    <w:rsid w:val="00BA1D3C"/>
    <w:rsid w:val="00BB1D68"/>
    <w:rsid w:val="00BB335E"/>
    <w:rsid w:val="00BB3688"/>
    <w:rsid w:val="00BC4229"/>
    <w:rsid w:val="00BC573A"/>
    <w:rsid w:val="00BF72BB"/>
    <w:rsid w:val="00C04D35"/>
    <w:rsid w:val="00C06F0A"/>
    <w:rsid w:val="00C2105F"/>
    <w:rsid w:val="00C275BE"/>
    <w:rsid w:val="00C5726B"/>
    <w:rsid w:val="00C67C6E"/>
    <w:rsid w:val="00C80346"/>
    <w:rsid w:val="00C87E30"/>
    <w:rsid w:val="00CA724E"/>
    <w:rsid w:val="00CB6EF5"/>
    <w:rsid w:val="00CC0EF7"/>
    <w:rsid w:val="00CF1CEA"/>
    <w:rsid w:val="00D640A7"/>
    <w:rsid w:val="00DD531C"/>
    <w:rsid w:val="00E33A14"/>
    <w:rsid w:val="00E37641"/>
    <w:rsid w:val="00E5631C"/>
    <w:rsid w:val="00E627AA"/>
    <w:rsid w:val="00E63D21"/>
    <w:rsid w:val="00E7073A"/>
    <w:rsid w:val="00E73DC7"/>
    <w:rsid w:val="00E758EA"/>
    <w:rsid w:val="00E87182"/>
    <w:rsid w:val="00ED07FC"/>
    <w:rsid w:val="00EE03AA"/>
    <w:rsid w:val="00EE6BA9"/>
    <w:rsid w:val="00EF70F4"/>
    <w:rsid w:val="00F24FB9"/>
    <w:rsid w:val="00F30C7B"/>
    <w:rsid w:val="00F43264"/>
    <w:rsid w:val="00F475E2"/>
    <w:rsid w:val="00F82F3B"/>
    <w:rsid w:val="00F83C92"/>
    <w:rsid w:val="00F844EF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60FFD"/>
  <w15:docId w15:val="{5CC9808F-A027-4720-9AAD-E136A507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4C515A"/>
        <w:sz w:val="21"/>
        <w:szCs w:val="21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6B64"/>
  </w:style>
  <w:style w:type="paragraph" w:styleId="Heading1">
    <w:name w:val="heading 1"/>
    <w:basedOn w:val="Normal"/>
    <w:next w:val="Normal"/>
    <w:pPr>
      <w:keepNext/>
      <w:keepLines/>
      <w:spacing w:before="280" w:after="140" w:line="216" w:lineRule="auto"/>
      <w:outlineLvl w:val="0"/>
    </w:pPr>
    <w:rPr>
      <w:b/>
      <w:color w:val="D01D2B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after="240" w:line="228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after="100" w:line="228" w:lineRule="auto"/>
      <w:outlineLvl w:val="2"/>
    </w:pPr>
    <w:rPr>
      <w:b/>
      <w:color w:val="D01D2B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after="100" w:line="228" w:lineRule="auto"/>
      <w:outlineLvl w:val="4"/>
    </w:pPr>
    <w:rPr>
      <w:smallCaps/>
      <w:color w:val="868A90"/>
    </w:rPr>
  </w:style>
  <w:style w:type="paragraph" w:styleId="Heading6">
    <w:name w:val="heading 6"/>
    <w:basedOn w:val="Normal"/>
    <w:next w:val="Normal"/>
    <w:pPr>
      <w:keepNext/>
      <w:keepLines/>
      <w:spacing w:before="40"/>
      <w:outlineLvl w:val="5"/>
    </w:pPr>
    <w:rPr>
      <w:b/>
      <w:color w:val="868A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80" w:after="140" w:line="216" w:lineRule="auto"/>
    </w:pPr>
    <w:rPr>
      <w:b/>
      <w:color w:val="D01D2B"/>
      <w:sz w:val="60"/>
      <w:szCs w:val="60"/>
    </w:rPr>
  </w:style>
  <w:style w:type="paragraph" w:styleId="Subtitle">
    <w:name w:val="Subtitle"/>
    <w:basedOn w:val="Normal"/>
    <w:next w:val="Normal"/>
    <w:pPr>
      <w:keepNext/>
      <w:keepLines/>
      <w:spacing w:after="120" w:line="216" w:lineRule="auto"/>
    </w:pPr>
    <w:rPr>
      <w:rFonts w:ascii="Times" w:eastAsia="Times" w:hAnsi="Times" w:cs="Times"/>
      <w:b/>
      <w:i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3AA"/>
  </w:style>
  <w:style w:type="paragraph" w:styleId="Footer">
    <w:name w:val="footer"/>
    <w:basedOn w:val="Normal"/>
    <w:link w:val="FooterChar"/>
    <w:uiPriority w:val="99"/>
    <w:unhideWhenUsed/>
    <w:rsid w:val="00EE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3AA"/>
  </w:style>
  <w:style w:type="paragraph" w:styleId="ListParagraph">
    <w:name w:val="List Paragraph"/>
    <w:basedOn w:val="Normal"/>
    <w:uiPriority w:val="34"/>
    <w:qFormat/>
    <w:rsid w:val="00BA1D3C"/>
    <w:pPr>
      <w:ind w:left="720"/>
      <w:contextualSpacing/>
    </w:pPr>
  </w:style>
  <w:style w:type="table" w:styleId="TableGrid">
    <w:name w:val="Table Grid"/>
    <w:basedOn w:val="TableNormal"/>
    <w:uiPriority w:val="39"/>
    <w:rsid w:val="00E37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6F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Xavier Tissier</dc:creator>
  <cp:lastModifiedBy>Zamzam Abdinoor Dakane</cp:lastModifiedBy>
  <cp:revision>6</cp:revision>
  <dcterms:created xsi:type="dcterms:W3CDTF">2022-10-25T09:15:00Z</dcterms:created>
  <dcterms:modified xsi:type="dcterms:W3CDTF">2022-10-25T13:07:00Z</dcterms:modified>
</cp:coreProperties>
</file>