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0"/>
        <w:gridCol w:w="7040"/>
      </w:tblGrid>
      <w:tr w:rsidR="0044306F" w:rsidRPr="00056B16" w14:paraId="2C8DFABE" w14:textId="77777777" w:rsidTr="00924FB9">
        <w:tc>
          <w:tcPr>
            <w:tcW w:w="2470" w:type="dxa"/>
            <w:shd w:val="clear" w:color="auto" w:fill="auto"/>
            <w:tcMar>
              <w:top w:w="100" w:type="dxa"/>
              <w:left w:w="100" w:type="dxa"/>
              <w:bottom w:w="100" w:type="dxa"/>
              <w:right w:w="100" w:type="dxa"/>
            </w:tcMar>
          </w:tcPr>
          <w:p w14:paraId="3EF59D40" w14:textId="77777777" w:rsidR="0044306F" w:rsidRPr="00924FB9" w:rsidRDefault="0044306F" w:rsidP="0089400D">
            <w:pPr>
              <w:widowControl w:val="0"/>
              <w:pBdr>
                <w:top w:val="nil"/>
                <w:left w:val="nil"/>
                <w:bottom w:val="nil"/>
                <w:right w:val="nil"/>
                <w:between w:val="nil"/>
              </w:pBdr>
              <w:spacing w:after="0"/>
              <w:rPr>
                <w:b/>
                <w:color w:val="5A5555"/>
                <w:highlight w:val="white"/>
              </w:rPr>
            </w:pPr>
            <w:r w:rsidRPr="00924FB9">
              <w:rPr>
                <w:b/>
                <w:color w:val="5A5555"/>
                <w:highlight w:val="white"/>
              </w:rPr>
              <w:t>Программа/ название</w:t>
            </w:r>
          </w:p>
        </w:tc>
        <w:tc>
          <w:tcPr>
            <w:tcW w:w="7040" w:type="dxa"/>
            <w:shd w:val="clear" w:color="auto" w:fill="auto"/>
            <w:tcMar>
              <w:top w:w="100" w:type="dxa"/>
              <w:left w:w="100" w:type="dxa"/>
              <w:bottom w:w="100" w:type="dxa"/>
              <w:right w:w="100" w:type="dxa"/>
            </w:tcMar>
          </w:tcPr>
          <w:p w14:paraId="6F9E7225" w14:textId="29D59A67" w:rsidR="0044306F" w:rsidRPr="00924FB9" w:rsidRDefault="0044306F" w:rsidP="0089400D">
            <w:pPr>
              <w:widowControl w:val="0"/>
              <w:pBdr>
                <w:top w:val="nil"/>
                <w:left w:val="nil"/>
                <w:bottom w:val="nil"/>
                <w:right w:val="nil"/>
                <w:between w:val="nil"/>
              </w:pBdr>
              <w:spacing w:after="0"/>
              <w:rPr>
                <w:b/>
                <w:color w:val="5A5555"/>
                <w:highlight w:val="white"/>
              </w:rPr>
            </w:pPr>
            <w:r w:rsidRPr="00924FB9">
              <w:rPr>
                <w:b/>
                <w:color w:val="5A5555"/>
              </w:rPr>
              <w:t>VEzperza</w:t>
            </w:r>
          </w:p>
        </w:tc>
      </w:tr>
      <w:tr w:rsidR="0044306F" w:rsidRPr="00056B16" w14:paraId="1E66A781" w14:textId="77777777" w:rsidTr="00924FB9">
        <w:tc>
          <w:tcPr>
            <w:tcW w:w="2470" w:type="dxa"/>
            <w:shd w:val="clear" w:color="auto" w:fill="auto"/>
            <w:tcMar>
              <w:top w:w="100" w:type="dxa"/>
              <w:left w:w="100" w:type="dxa"/>
              <w:bottom w:w="100" w:type="dxa"/>
              <w:right w:w="100" w:type="dxa"/>
            </w:tcMar>
          </w:tcPr>
          <w:p w14:paraId="5DD903E4" w14:textId="204F14BB" w:rsidR="0044306F" w:rsidRPr="00924FB9" w:rsidRDefault="0044306F" w:rsidP="0089400D">
            <w:pPr>
              <w:widowControl w:val="0"/>
              <w:pBdr>
                <w:top w:val="nil"/>
                <w:left w:val="nil"/>
                <w:bottom w:val="nil"/>
                <w:right w:val="nil"/>
                <w:between w:val="nil"/>
              </w:pBdr>
              <w:spacing w:after="0"/>
              <w:rPr>
                <w:b/>
                <w:color w:val="5A5555"/>
                <w:highlight w:val="white"/>
              </w:rPr>
            </w:pPr>
            <w:r w:rsidRPr="00924FB9">
              <w:rPr>
                <w:b/>
                <w:color w:val="5A5555"/>
                <w:highlight w:val="white"/>
              </w:rPr>
              <w:t>Местоположение(-я) программы</w:t>
            </w:r>
          </w:p>
        </w:tc>
        <w:tc>
          <w:tcPr>
            <w:tcW w:w="7040" w:type="dxa"/>
            <w:shd w:val="clear" w:color="auto" w:fill="auto"/>
            <w:tcMar>
              <w:top w:w="100" w:type="dxa"/>
              <w:left w:w="100" w:type="dxa"/>
              <w:bottom w:w="100" w:type="dxa"/>
              <w:right w:w="100" w:type="dxa"/>
            </w:tcMar>
          </w:tcPr>
          <w:p w14:paraId="69773CDC" w14:textId="3BA671C8" w:rsidR="0044306F" w:rsidRPr="00924FB9" w:rsidRDefault="0044306F" w:rsidP="0089400D">
            <w:pPr>
              <w:widowControl w:val="0"/>
              <w:pBdr>
                <w:top w:val="nil"/>
                <w:left w:val="nil"/>
                <w:bottom w:val="nil"/>
                <w:right w:val="nil"/>
                <w:between w:val="nil"/>
              </w:pBdr>
              <w:spacing w:after="0"/>
              <w:rPr>
                <w:b/>
                <w:color w:val="5A5555"/>
                <w:highlight w:val="white"/>
              </w:rPr>
            </w:pPr>
            <w:r w:rsidRPr="00924FB9">
              <w:rPr>
                <w:b/>
                <w:color w:val="5A5555"/>
                <w:highlight w:val="white"/>
              </w:rPr>
              <w:t>Зандалия; вся страна;</w:t>
            </w:r>
          </w:p>
        </w:tc>
      </w:tr>
      <w:tr w:rsidR="0044306F" w:rsidRPr="00056B16" w14:paraId="71E862C4" w14:textId="77777777" w:rsidTr="00924FB9">
        <w:tc>
          <w:tcPr>
            <w:tcW w:w="2470" w:type="dxa"/>
            <w:shd w:val="clear" w:color="auto" w:fill="auto"/>
            <w:tcMar>
              <w:top w:w="100" w:type="dxa"/>
              <w:left w:w="100" w:type="dxa"/>
              <w:bottom w:w="100" w:type="dxa"/>
              <w:right w:w="100" w:type="dxa"/>
            </w:tcMar>
          </w:tcPr>
          <w:p w14:paraId="6334C2B3" w14:textId="77777777" w:rsidR="0044306F" w:rsidRPr="00924FB9" w:rsidRDefault="0044306F" w:rsidP="0089400D">
            <w:pPr>
              <w:widowControl w:val="0"/>
              <w:pBdr>
                <w:top w:val="nil"/>
                <w:left w:val="nil"/>
                <w:bottom w:val="nil"/>
                <w:right w:val="nil"/>
                <w:between w:val="nil"/>
              </w:pBdr>
              <w:spacing w:after="0"/>
              <w:rPr>
                <w:b/>
                <w:color w:val="5A5555"/>
                <w:highlight w:val="white"/>
              </w:rPr>
            </w:pPr>
            <w:r w:rsidRPr="00924FB9">
              <w:rPr>
                <w:b/>
                <w:color w:val="5A5555"/>
                <w:highlight w:val="white"/>
              </w:rPr>
              <w:t>Длительность</w:t>
            </w:r>
          </w:p>
        </w:tc>
        <w:tc>
          <w:tcPr>
            <w:tcW w:w="7040" w:type="dxa"/>
            <w:shd w:val="clear" w:color="auto" w:fill="auto"/>
            <w:tcMar>
              <w:top w:w="100" w:type="dxa"/>
              <w:left w:w="100" w:type="dxa"/>
              <w:bottom w:w="100" w:type="dxa"/>
              <w:right w:w="100" w:type="dxa"/>
            </w:tcMar>
          </w:tcPr>
          <w:p w14:paraId="7A1E27C3" w14:textId="6FDF7959" w:rsidR="0044306F" w:rsidRPr="00924FB9" w:rsidRDefault="0044306F" w:rsidP="00924FB9">
            <w:pPr>
              <w:widowControl w:val="0"/>
              <w:pBdr>
                <w:top w:val="nil"/>
                <w:left w:val="nil"/>
                <w:bottom w:val="nil"/>
                <w:right w:val="nil"/>
                <w:between w:val="nil"/>
              </w:pBdr>
              <w:spacing w:before="0" w:after="0"/>
              <w:rPr>
                <w:b/>
                <w:color w:val="5A5555"/>
                <w:highlight w:val="white"/>
              </w:rPr>
            </w:pPr>
            <w:r w:rsidRPr="00924FB9">
              <w:rPr>
                <w:b/>
                <w:color w:val="5A5555"/>
              </w:rPr>
              <w:t>Работа должна начаться где-то в марте-апреле 2024 года, то есть за 1–2 месяца до окончания программы. Окончательный отчет должен быть представлен до 15 мая 2024 г.</w:t>
            </w:r>
          </w:p>
        </w:tc>
      </w:tr>
    </w:tbl>
    <w:p w14:paraId="7B21EE03" w14:textId="77777777" w:rsidR="0044306F" w:rsidRPr="00056B16" w:rsidRDefault="0044306F" w:rsidP="0044306F">
      <w:pPr>
        <w:spacing w:after="0"/>
        <w:jc w:val="both"/>
        <w:rPr>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4306F" w:rsidRPr="00056B16" w14:paraId="3B6F2818" w14:textId="77777777" w:rsidTr="0089400D">
        <w:tc>
          <w:tcPr>
            <w:tcW w:w="9576" w:type="dxa"/>
            <w:tcBorders>
              <w:top w:val="nil"/>
              <w:left w:val="nil"/>
              <w:bottom w:val="nil"/>
              <w:right w:val="nil"/>
            </w:tcBorders>
            <w:shd w:val="clear" w:color="auto" w:fill="CF102D"/>
          </w:tcPr>
          <w:p w14:paraId="5FB4F02F" w14:textId="77777777" w:rsidR="0044306F" w:rsidRPr="00056B16" w:rsidRDefault="0044306F" w:rsidP="0089400D">
            <w:pPr>
              <w:jc w:val="both"/>
              <w:rPr>
                <w:b/>
                <w:color w:val="FFFFFF"/>
              </w:rPr>
            </w:pPr>
          </w:p>
        </w:tc>
      </w:tr>
    </w:tbl>
    <w:p w14:paraId="32620593" w14:textId="518406B0" w:rsidR="0044306F" w:rsidRDefault="00D65FC1" w:rsidP="00924FB9">
      <w:pPr>
        <w:pStyle w:val="Ttulo2"/>
      </w:pPr>
      <w:r>
        <w:t>Справочная информация</w:t>
      </w:r>
    </w:p>
    <w:p w14:paraId="21453E92" w14:textId="46CE25CB" w:rsidR="004A540E" w:rsidRDefault="00D172B2">
      <w:pPr>
        <w:spacing w:before="17"/>
        <w:jc w:val="both"/>
      </w:pPr>
      <w:r>
        <w:t xml:space="preserve">Консорциум VEzperza (VE), в состав которого входят международный комитет безопасности International Safety Committee (ISC), агентства Mercy Corps, ChildrenToChildren и Global Vision for Peace, с 15 августа 2019 года работает над предоставлением гуманитарной многоцелевой денежной помощи (MPCA) и программ дополнительного питания, чтобы улучшить </w:t>
      </w:r>
      <w:r w:rsidR="00797B30">
        <w:t xml:space="preserve">удовлетворение </w:t>
      </w:r>
      <w:r>
        <w:t>потребностей нуждающихся (PIN) в Зандалии. Эта программа нацелена на поддержку мигрантов и беженцев из Занаду, желающих остаться в Зандалии, а также зандалийских репатриантов и представителей местного населения. По состоянию на декабрь 2021 года консорциум предоставил почти 40 млн долл. США на спасательную программу MPCA для более чем 319 000 участников, предоставил программы дополнительного питания более чем 63 000 человек и начал помогать участникам в регистрации легального миграционного статуса в правительстве Зандалии (GOZ), чтобы расширить доступ к системе социального обслуживания. Недавно программа была расширена и охватила более 358 000 участников. Общая стоимость программы составляет более 93 млн долл. США, VEzperza представляет собой одновременно одну из крупнейших текущих программ агентства Mercy Corp и одну из крупнейших программ MPCA того же агентства.</w:t>
      </w:r>
    </w:p>
    <w:p w14:paraId="6599E579" w14:textId="3A77895E" w:rsidR="0044306F" w:rsidRPr="00056B16" w:rsidRDefault="0044306F" w:rsidP="00924FB9">
      <w:pPr>
        <w:pStyle w:val="Ttulo2"/>
        <w:numPr>
          <w:ilvl w:val="1"/>
          <w:numId w:val="8"/>
        </w:numPr>
      </w:pPr>
      <w:r>
        <w:t xml:space="preserve">Программа, подлежащая анализу </w:t>
      </w:r>
    </w:p>
    <w:p w14:paraId="5C0544A0" w14:textId="53EFBB02" w:rsidR="0044306F" w:rsidRPr="00056B16" w:rsidRDefault="0044306F" w:rsidP="00924FB9">
      <w:pPr>
        <w:spacing w:after="0"/>
        <w:jc w:val="both"/>
      </w:pPr>
      <w:r>
        <w:t xml:space="preserve">Эта двухлетняя программа началась 1 июня 2022 года и завершится 31 мая 2024 года. Она реализуется в Зандалии агентствами Mercy Corp, ChildrenToChildren и Global Vision for Peace. VEzperza работает с мигрантами и беженцами, желающими остаться в Зандалии, зандалийскими репатриантами и </w:t>
      </w:r>
      <w:r w:rsidR="00797B30">
        <w:t>местными городскими жителями</w:t>
      </w:r>
      <w:r>
        <w:t xml:space="preserve">. </w:t>
      </w:r>
      <w:r w:rsidR="00786326">
        <w:t>Населенные пункты городского типа</w:t>
      </w:r>
      <w:r>
        <w:t xml:space="preserve"> </w:t>
      </w:r>
      <w:r w:rsidR="00786326">
        <w:t>расположены</w:t>
      </w:r>
      <w:r>
        <w:t xml:space="preserve"> по всей стране и </w:t>
      </w:r>
      <w:r w:rsidR="00786326">
        <w:t>до них можно добраться круглый год</w:t>
      </w:r>
      <w:r>
        <w:t>.</w:t>
      </w:r>
    </w:p>
    <w:p w14:paraId="188E384F" w14:textId="5880CC54" w:rsidR="004A540E" w:rsidRPr="00924FB9" w:rsidRDefault="00D65FC1" w:rsidP="00924FB9">
      <w:pPr>
        <w:pStyle w:val="Ttulo2"/>
        <w:rPr>
          <w:b w:val="0"/>
        </w:rPr>
      </w:pPr>
      <w:r>
        <w:t>Цель и задачи анализа VfM</w:t>
      </w:r>
      <w:r w:rsidRPr="00924FB9">
        <w:t xml:space="preserve"> </w:t>
      </w:r>
    </w:p>
    <w:p w14:paraId="1FDA377D" w14:textId="056A439B" w:rsidR="00D65FC1" w:rsidRDefault="00D65FC1" w:rsidP="00D65FC1">
      <w:pPr>
        <w:jc w:val="both"/>
      </w:pPr>
      <w:r>
        <w:t xml:space="preserve">Mercy Corps создало рабочую группу на уровне агентств для определения общего подхода к соотношению затрат и качества оказываемых услуг (VfM). Рабочая группа VfM является местом для координации усилий по укреплению и оптимизации понимания и анализа VfM на организационном и программном уровнях. Целью группы является определение </w:t>
      </w:r>
      <w:r>
        <w:lastRenderedPageBreak/>
        <w:t xml:space="preserve">важности VfM для Mercy Corps, а также </w:t>
      </w:r>
      <w:r w:rsidR="00786326">
        <w:t xml:space="preserve">на определение того, как и когда </w:t>
      </w:r>
      <w:r>
        <w:t>анализ VfM может применяться в отношении программ. В дополнение к этому Mercy Corps является членом межведомственного консорциума Dioptra</w:t>
      </w:r>
      <w:r>
        <w:rPr>
          <w:vertAlign w:val="superscript"/>
        </w:rPr>
        <w:footnoteReference w:id="1"/>
      </w:r>
      <w:r>
        <w:t>, целью которого является разработка общей методологии и программного обеспечения для анализа экономической эффективности, а также проведение совместной пропаганды среди доноров в отношении эффективности параметров реализации программы и передовых методов измерения и ожиданий VfM.</w:t>
      </w:r>
    </w:p>
    <w:p w14:paraId="2312FFD9" w14:textId="43228822" w:rsidR="004A540E" w:rsidRDefault="00D172B2">
      <w:pPr>
        <w:ind w:right="10"/>
        <w:jc w:val="both"/>
      </w:pPr>
      <w:r>
        <w:t xml:space="preserve">В качестве компонента своей программы обучения и для дальнейших усилий Mercy Corps по оценке соотношения цены и качества программ (VfM), </w:t>
      </w:r>
      <w:r w:rsidR="00797B30">
        <w:t xml:space="preserve">Mercy Corps </w:t>
      </w:r>
      <w:r>
        <w:t xml:space="preserve">и консорциум VE заинтересованы в оценке VfM консорциума VE, особенно в отношении MPCA. Это также будет способствовать </w:t>
      </w:r>
      <w:r w:rsidR="00786326">
        <w:t xml:space="preserve">реализации обязательств </w:t>
      </w:r>
      <w:r>
        <w:t xml:space="preserve">Mercy Corps </w:t>
      </w:r>
      <w:r w:rsidR="00786326">
        <w:t xml:space="preserve">в области обеспечения межотраслевого </w:t>
      </w:r>
      <w:r>
        <w:t>сотрудничеств</w:t>
      </w:r>
      <w:r w:rsidR="00786326">
        <w:t>а в рамках</w:t>
      </w:r>
      <w:r>
        <w:t xml:space="preserve"> VfM и обмену информацией через консорциум Dioptra, в который также входят несколько агентств VE.</w:t>
      </w:r>
    </w:p>
    <w:p w14:paraId="05BA0886" w14:textId="77777777" w:rsidR="001844C2" w:rsidRDefault="001844C2" w:rsidP="00924FB9">
      <w:pPr>
        <w:pStyle w:val="Ttulo2"/>
      </w:pPr>
      <w:r>
        <w:t>Цели и вопросы исследования</w:t>
      </w:r>
    </w:p>
    <w:p w14:paraId="4CE5A4C4" w14:textId="79EA1B2D" w:rsidR="001844C2" w:rsidRDefault="001844C2" w:rsidP="001844C2">
      <w:pPr>
        <w:ind w:right="10"/>
        <w:jc w:val="both"/>
      </w:pPr>
      <w:r>
        <w:t>Конкретные цели этого анализа заключаются в следующем:</w:t>
      </w:r>
    </w:p>
    <w:p w14:paraId="054284E7" w14:textId="77777777" w:rsidR="001844C2" w:rsidRDefault="001844C2" w:rsidP="00924FB9">
      <w:pPr>
        <w:numPr>
          <w:ilvl w:val="0"/>
          <w:numId w:val="10"/>
        </w:numPr>
        <w:ind w:right="10"/>
        <w:jc w:val="both"/>
      </w:pPr>
      <w:r>
        <w:t>оценить стоимость и структуру, эффективность, результативность и целостность VE MPCA с использованием принятых методологий, разработанных Mercy Corps.</w:t>
      </w:r>
    </w:p>
    <w:p w14:paraId="63F14D8F" w14:textId="77777777" w:rsidR="001844C2" w:rsidRDefault="001844C2" w:rsidP="00924FB9">
      <w:pPr>
        <w:numPr>
          <w:ilvl w:val="0"/>
          <w:numId w:val="10"/>
        </w:numPr>
        <w:ind w:right="10"/>
        <w:jc w:val="both"/>
      </w:pPr>
      <w:r>
        <w:t>повысить понимание командой VE анализа VfM и его использования.</w:t>
      </w:r>
    </w:p>
    <w:p w14:paraId="3B395744" w14:textId="77777777" w:rsidR="001844C2" w:rsidRDefault="001844C2" w:rsidP="00924FB9">
      <w:pPr>
        <w:numPr>
          <w:ilvl w:val="0"/>
          <w:numId w:val="10"/>
        </w:numPr>
        <w:ind w:right="10"/>
        <w:jc w:val="both"/>
      </w:pPr>
      <w:r>
        <w:t xml:space="preserve">внести вклад в создание общеотраслевой базы данных по эффективности затрат при разработке гуманитарных программ MPCA. </w:t>
      </w:r>
    </w:p>
    <w:p w14:paraId="21D5B042" w14:textId="77777777" w:rsidR="001844C2" w:rsidRDefault="001844C2">
      <w:pPr>
        <w:numPr>
          <w:ilvl w:val="0"/>
          <w:numId w:val="10"/>
        </w:numPr>
        <w:ind w:right="10"/>
        <w:jc w:val="both"/>
      </w:pPr>
      <w:r>
        <w:t>предоставить членам консорциума VE данные о VfM для пропаганды среди доноров и/или других внутренних/внешних заинтересованных сторон и/или разработки будущих мер.</w:t>
      </w:r>
    </w:p>
    <w:p w14:paraId="60446694" w14:textId="77777777" w:rsidR="002E022C" w:rsidRDefault="002E022C" w:rsidP="00924FB9">
      <w:pPr>
        <w:spacing w:after="0"/>
        <w:ind w:left="720" w:right="10"/>
        <w:jc w:val="both"/>
      </w:pPr>
    </w:p>
    <w:tbl>
      <w:tblPr>
        <w:tblStyle w:val="Tablaconcuadrcula"/>
        <w:tblW w:w="0" w:type="auto"/>
        <w:tblLook w:val="04A0" w:firstRow="1" w:lastRow="0" w:firstColumn="1" w:lastColumn="0" w:noHBand="0" w:noVBand="1"/>
      </w:tblPr>
      <w:tblGrid>
        <w:gridCol w:w="9350"/>
      </w:tblGrid>
      <w:tr w:rsidR="00251F14" w14:paraId="30949EE5" w14:textId="77777777" w:rsidTr="00251F14">
        <w:tc>
          <w:tcPr>
            <w:tcW w:w="9350" w:type="dxa"/>
          </w:tcPr>
          <w:p w14:paraId="0B720774" w14:textId="5E5C4E2C" w:rsidR="00251F14" w:rsidRDefault="00251F14" w:rsidP="00251F14">
            <w:pPr>
              <w:ind w:right="10"/>
              <w:jc w:val="both"/>
            </w:pPr>
            <w:r>
              <w:rPr>
                <w:rStyle w:val="normaltextrun"/>
                <w:rFonts w:ascii="Arial" w:hAnsi="Arial"/>
                <w:color w:val="000000"/>
                <w:shd w:val="clear" w:color="auto" w:fill="FFFFFF"/>
              </w:rPr>
              <w:t>Не копируйте и не вставляйте эти цели в свое техническое предложение. Вам необходимо обратиться к данному техзаданию SOW только в том случае, если вы хотите обратиться к целям (например, для достижения целей I, II, III и IV из SOW мы предлагаем …….) </w:t>
            </w:r>
            <w:r>
              <w:rPr>
                <w:rStyle w:val="eop"/>
                <w:rFonts w:ascii="Arial" w:hAnsi="Arial"/>
                <w:color w:val="000000"/>
                <w:shd w:val="clear" w:color="auto" w:fill="FFFFFF"/>
              </w:rPr>
              <w:t> </w:t>
            </w:r>
          </w:p>
        </w:tc>
      </w:tr>
    </w:tbl>
    <w:p w14:paraId="121BF301" w14:textId="77777777" w:rsidR="00251F14" w:rsidRDefault="00251F14" w:rsidP="00924FB9">
      <w:pPr>
        <w:spacing w:before="0"/>
        <w:ind w:right="10"/>
        <w:jc w:val="both"/>
      </w:pPr>
    </w:p>
    <w:p w14:paraId="74D54C5F" w14:textId="77777777" w:rsidR="001844C2" w:rsidRDefault="001844C2" w:rsidP="001844C2">
      <w:pPr>
        <w:ind w:right="10"/>
        <w:jc w:val="both"/>
      </w:pPr>
      <w:r>
        <w:t xml:space="preserve">Исследование будет сосредоточено на следующих ключевых вопросах: </w:t>
      </w:r>
    </w:p>
    <w:p w14:paraId="6813B004" w14:textId="77777777" w:rsidR="001844C2" w:rsidRDefault="001844C2" w:rsidP="001844C2">
      <w:pPr>
        <w:numPr>
          <w:ilvl w:val="0"/>
          <w:numId w:val="6"/>
        </w:numPr>
        <w:ind w:right="10"/>
        <w:jc w:val="both"/>
      </w:pPr>
      <w:r>
        <w:rPr>
          <w:b/>
        </w:rPr>
        <w:t>Затраты и проектирование</w:t>
      </w:r>
      <w:r>
        <w:t xml:space="preserve">: каковы факторы стоимости программы? Как на них влияет структура программы с точки зрения равенства? </w:t>
      </w:r>
    </w:p>
    <w:p w14:paraId="56548A2E" w14:textId="6A0DB212" w:rsidR="001844C2" w:rsidRDefault="001844C2" w:rsidP="001844C2">
      <w:pPr>
        <w:numPr>
          <w:ilvl w:val="0"/>
          <w:numId w:val="6"/>
        </w:numPr>
        <w:ind w:right="10"/>
        <w:jc w:val="both"/>
      </w:pPr>
      <w:r>
        <w:rPr>
          <w:b/>
        </w:rPr>
        <w:t>Эффективность и экономичность</w:t>
      </w:r>
      <w:r>
        <w:t xml:space="preserve">: </w:t>
      </w:r>
      <w:r w:rsidR="00D93B50">
        <w:t>б</w:t>
      </w:r>
      <w:r>
        <w:t>ыли ли ресурсы справедливо распределены между обособленными лицами/группами и целевыми группами? Какова экономическая эффективность программы по сравнению с другими программами MPCA?</w:t>
      </w:r>
    </w:p>
    <w:p w14:paraId="0445E2CD" w14:textId="77777777" w:rsidR="001844C2" w:rsidRDefault="001844C2" w:rsidP="001844C2">
      <w:pPr>
        <w:numPr>
          <w:ilvl w:val="0"/>
          <w:numId w:val="6"/>
        </w:numPr>
        <w:ind w:right="10"/>
        <w:jc w:val="both"/>
      </w:pPr>
      <w:r>
        <w:rPr>
          <w:b/>
        </w:rPr>
        <w:lastRenderedPageBreak/>
        <w:t>Эффективность</w:t>
      </w:r>
      <w:r>
        <w:t xml:space="preserve">: Достигнуты ли в рамках программы запланированные результаты? Устранены ли в программе первоначально выявленные барьеры для инклюзивности? </w:t>
      </w:r>
    </w:p>
    <w:p w14:paraId="081A8F05" w14:textId="60A50AA1" w:rsidR="001844C2" w:rsidRDefault="001844C2" w:rsidP="001844C2">
      <w:pPr>
        <w:numPr>
          <w:ilvl w:val="0"/>
          <w:numId w:val="6"/>
        </w:numPr>
        <w:ind w:right="10"/>
        <w:jc w:val="both"/>
      </w:pPr>
      <w:r>
        <w:rPr>
          <w:b/>
        </w:rPr>
        <w:t>VfM</w:t>
      </w:r>
      <w:r>
        <w:t>: Как</w:t>
      </w:r>
      <w:r w:rsidR="00797B30">
        <w:t>им образом</w:t>
      </w:r>
      <w:r>
        <w:t xml:space="preserve"> консорциум VEzperza может использовать данные VfM, чтобы понять, как эффективно и результативно распределять ресурсы?</w:t>
      </w:r>
    </w:p>
    <w:p w14:paraId="754B6B57" w14:textId="4E3C81E4" w:rsidR="001844C2" w:rsidRPr="00056B16" w:rsidRDefault="001844C2" w:rsidP="00924FB9">
      <w:pPr>
        <w:pStyle w:val="Ttulo2"/>
      </w:pPr>
      <w:r>
        <w:t>Соответствующие документы</w:t>
      </w:r>
      <w:r>
        <w:tab/>
      </w:r>
    </w:p>
    <w:p w14:paraId="6961E270" w14:textId="77777777" w:rsidR="001844C2" w:rsidRPr="00056B16" w:rsidRDefault="001844C2" w:rsidP="001844C2">
      <w:pPr>
        <w:jc w:val="both"/>
      </w:pPr>
      <w:r>
        <w:t xml:space="preserve">Вместе с SOW прилагаются: </w:t>
      </w:r>
    </w:p>
    <w:p w14:paraId="30AC368F" w14:textId="77777777" w:rsidR="004A540E" w:rsidRDefault="00D172B2">
      <w:pPr>
        <w:numPr>
          <w:ilvl w:val="0"/>
          <w:numId w:val="1"/>
        </w:numPr>
      </w:pPr>
      <w:r>
        <w:t>Предложение по программе и последние описательные отчеты</w:t>
      </w:r>
    </w:p>
    <w:p w14:paraId="59B5E39D" w14:textId="77777777" w:rsidR="004A540E" w:rsidRDefault="00D172B2">
      <w:pPr>
        <w:numPr>
          <w:ilvl w:val="0"/>
          <w:numId w:val="1"/>
        </w:numPr>
      </w:pPr>
      <w:r>
        <w:t xml:space="preserve">План MEL </w:t>
      </w:r>
    </w:p>
    <w:p w14:paraId="31E9EBCE" w14:textId="77777777" w:rsidR="004A540E" w:rsidRDefault="00D172B2">
      <w:pPr>
        <w:numPr>
          <w:ilvl w:val="0"/>
          <w:numId w:val="1"/>
        </w:numPr>
      </w:pPr>
      <w:r>
        <w:t>Последняя таблица отслеживания выполнения показателей (IPTT) и запись Program TolaData</w:t>
      </w:r>
    </w:p>
    <w:p w14:paraId="76081BA5" w14:textId="77777777" w:rsidR="004A540E" w:rsidRDefault="00D172B2">
      <w:pPr>
        <w:numPr>
          <w:ilvl w:val="0"/>
          <w:numId w:val="1"/>
        </w:numPr>
      </w:pPr>
      <w:r>
        <w:t>Бюджет программы и список транзакций</w:t>
      </w:r>
    </w:p>
    <w:p w14:paraId="301972AB" w14:textId="77777777" w:rsidR="004A540E" w:rsidRDefault="00D172B2">
      <w:pPr>
        <w:numPr>
          <w:ilvl w:val="0"/>
          <w:numId w:val="1"/>
        </w:numPr>
      </w:pPr>
      <w:r>
        <w:t>Отчеты MEL, включая базовый, промежуточный, конечный уровни и мониторинг после распределения (PDM)</w:t>
      </w:r>
    </w:p>
    <w:p w14:paraId="5B50C8FC" w14:textId="77777777" w:rsidR="004A540E" w:rsidRDefault="00D172B2">
      <w:pPr>
        <w:numPr>
          <w:ilvl w:val="0"/>
          <w:numId w:val="1"/>
        </w:numPr>
      </w:pPr>
      <w:r>
        <w:t>Методика отбора участников</w:t>
      </w:r>
    </w:p>
    <w:p w14:paraId="373A35B4" w14:textId="552BEAE3" w:rsidR="005D3FB5" w:rsidRDefault="005D3FB5">
      <w:pPr>
        <w:numPr>
          <w:ilvl w:val="0"/>
          <w:numId w:val="1"/>
        </w:numPr>
      </w:pPr>
      <w:r>
        <w:t>Руководство по процессам закупок</w:t>
      </w:r>
    </w:p>
    <w:p w14:paraId="7D8996BD" w14:textId="5683F808" w:rsidR="0039051B" w:rsidRPr="0039051B" w:rsidRDefault="00D65FC1" w:rsidP="00924FB9">
      <w:pPr>
        <w:pStyle w:val="Ttulo2"/>
      </w:pPr>
      <w:r>
        <w:t>VfM</w:t>
      </w:r>
      <w:r w:rsidR="00D172B2">
        <w:t xml:space="preserve"> Дизайн и методы</w:t>
      </w:r>
    </w:p>
    <w:p w14:paraId="510D5AFB" w14:textId="3E39BD56" w:rsidR="0039051B" w:rsidRPr="0039051B" w:rsidRDefault="0039051B" w:rsidP="00924FB9">
      <w:pPr>
        <w:pStyle w:val="Ttulo2"/>
        <w:numPr>
          <w:ilvl w:val="1"/>
          <w:numId w:val="8"/>
        </w:numPr>
      </w:pPr>
      <w:r>
        <w:t>Методика и показатели VfM</w:t>
      </w:r>
    </w:p>
    <w:p w14:paraId="27B47087" w14:textId="28578E7A" w:rsidR="00DF1655" w:rsidRDefault="00D172B2">
      <w:pPr>
        <w:jc w:val="both"/>
      </w:pPr>
      <w:r>
        <w:t xml:space="preserve">В исследовании будет использоваться структура VfM, разработанная Mercy Corps, которая включает в себя теоретическую модель VfM (основанную на 4E FCDO), показатели (например, коэффициент переноса затрат, затраты на результат) и метод анализа затрат (например, определенные категории затрат). </w:t>
      </w:r>
      <w:r>
        <w:rPr>
          <w:u w:val="single"/>
        </w:rPr>
        <w:t>Эта структура основана на принципе 4E FCDO: «экономика, эффективность, действенность и целостность»</w:t>
      </w:r>
      <w:r>
        <w:t xml:space="preserve">. </w:t>
      </w:r>
    </w:p>
    <w:p w14:paraId="40C4D1B0" w14:textId="77777777" w:rsidR="00DF1655" w:rsidRDefault="00D172B2">
      <w:pPr>
        <w:jc w:val="both"/>
      </w:pPr>
      <w:r>
        <w:t xml:space="preserve">В анализе используется метод анализа затрат Dioptra в качестве основы для классификации затрат и ряд показателей для оценки эффективности программы. </w:t>
      </w:r>
      <w:r>
        <w:rPr>
          <w:u w:val="single"/>
        </w:rPr>
        <w:t>Никакого сбора дополнительных данных, кроме интервью с сотрудниками, не ожидается</w:t>
      </w:r>
      <w:r>
        <w:t xml:space="preserve">. </w:t>
      </w:r>
    </w:p>
    <w:p w14:paraId="1A091EDE" w14:textId="7112521C" w:rsidR="004A540E" w:rsidRDefault="00DF1655">
      <w:pPr>
        <w:jc w:val="both"/>
      </w:pPr>
      <w:r>
        <w:rPr>
          <w:u w:val="single"/>
        </w:rPr>
        <w:t xml:space="preserve">Помимо использования собственных аналитических инструментов, консультант должен применять для анализа </w:t>
      </w:r>
      <w:hyperlink r:id="rId11" w:history="1">
        <w:r>
          <w:rPr>
            <w:rStyle w:val="Hipervnculo"/>
          </w:rPr>
          <w:t>Dioptra</w:t>
        </w:r>
      </w:hyperlink>
      <w:r>
        <w:rPr>
          <w:u w:val="single"/>
        </w:rPr>
        <w:t xml:space="preserve"> затрат собственные инструменты, обучение которым будет проводиться сотрудниками </w:t>
      </w:r>
      <w:r w:rsidR="00797B30" w:rsidRPr="00924FB9">
        <w:rPr>
          <w:u w:val="single"/>
        </w:rPr>
        <w:t xml:space="preserve">Mercy </w:t>
      </w:r>
      <w:r w:rsidR="00D93B50" w:rsidRPr="00924FB9">
        <w:rPr>
          <w:u w:val="single"/>
        </w:rPr>
        <w:t>Corps.</w:t>
      </w:r>
      <w:r>
        <w:t xml:space="preserve"> В методику включены предложенные метрики, и консультант может добавить новые метрики в анализ, если сочтет это необходимым. В ходе анализа будут изучены следующие аспекты:</w:t>
      </w:r>
    </w:p>
    <w:p w14:paraId="5FABF7B6" w14:textId="77777777" w:rsidR="004A540E" w:rsidRDefault="00D172B2">
      <w:pPr>
        <w:numPr>
          <w:ilvl w:val="0"/>
          <w:numId w:val="3"/>
        </w:numPr>
        <w:jc w:val="both"/>
      </w:pPr>
      <w:r>
        <w:t xml:space="preserve">Затраты и проектирование - определение структуры распределения затрат по категориям затрат с целью выявления драйверов затрат. Будет включать в себя соображения, касающиеся разработки программы и того, как ориентация на обособленные социальные группы способствовала распределению затрат. </w:t>
      </w:r>
    </w:p>
    <w:p w14:paraId="4E48066D" w14:textId="77777777" w:rsidR="004A540E" w:rsidRDefault="00D172B2">
      <w:pPr>
        <w:jc w:val="both"/>
      </w:pPr>
      <w:r>
        <w:rPr>
          <w:i/>
        </w:rPr>
        <w:t>Предлагаемая метрика</w:t>
      </w:r>
      <w:r>
        <w:t>:</w:t>
      </w:r>
      <w:r>
        <w:rPr>
          <w:b/>
        </w:rPr>
        <w:t xml:space="preserve"> затраты категории в % от общей стоимости.</w:t>
      </w:r>
    </w:p>
    <w:p w14:paraId="6A107C4D" w14:textId="77777777" w:rsidR="004A540E" w:rsidRDefault="00D172B2">
      <w:pPr>
        <w:numPr>
          <w:ilvl w:val="0"/>
          <w:numId w:val="3"/>
        </w:numPr>
        <w:jc w:val="both"/>
      </w:pPr>
      <w:r>
        <w:lastRenderedPageBreak/>
        <w:t xml:space="preserve">Эффективность - количественная оценка предоставления товаров и услуг участникам и затрат на принятие справедливого решения. </w:t>
      </w:r>
    </w:p>
    <w:p w14:paraId="0B5C2C07" w14:textId="77777777" w:rsidR="004A540E" w:rsidRDefault="00D172B2">
      <w:pPr>
        <w:jc w:val="both"/>
      </w:pPr>
      <w:r>
        <w:rPr>
          <w:i/>
        </w:rPr>
        <w:t>Рекомендуемые метрики</w:t>
      </w:r>
      <w:r>
        <w:t xml:space="preserve">: </w:t>
      </w:r>
      <w:r>
        <w:rPr>
          <w:b/>
        </w:rPr>
        <w:t>стоимость одного потраченного доллара; стоимость на человека, охваченное программой помощи MPCA; стоимость на одно обособленное лицо, охваченное программой</w:t>
      </w:r>
      <w:r>
        <w:t xml:space="preserve"> (если позволяет структура бюджета).</w:t>
      </w:r>
    </w:p>
    <w:p w14:paraId="44E2A370" w14:textId="77777777" w:rsidR="004A540E" w:rsidRDefault="00D172B2">
      <w:pPr>
        <w:numPr>
          <w:ilvl w:val="0"/>
          <w:numId w:val="3"/>
        </w:numPr>
        <w:jc w:val="both"/>
      </w:pPr>
      <w:r>
        <w:t>Эффективность — количественная оценка достижения результатов проекта, включая результаты устранения структурных барьеров, а также вероятность того, что результаты будут устойчивыми с течением времени.</w:t>
      </w:r>
    </w:p>
    <w:p w14:paraId="5FD2665E" w14:textId="77777777" w:rsidR="004A540E" w:rsidRDefault="00D172B2">
      <w:pPr>
        <w:jc w:val="both"/>
      </w:pPr>
      <w:r>
        <w:rPr>
          <w:i/>
        </w:rPr>
        <w:t>Рекомендуемые метрики</w:t>
      </w:r>
      <w:r>
        <w:t xml:space="preserve">: </w:t>
      </w:r>
      <w:r>
        <w:rPr>
          <w:b/>
        </w:rPr>
        <w:t>процент фактических/целевых показателей, достигнутых по показателям уровня результатов</w:t>
      </w:r>
      <w:r>
        <w:t>;</w:t>
      </w:r>
      <w:r>
        <w:rPr>
          <w:b/>
        </w:rPr>
        <w:t xml:space="preserve"> стоимость единицы результативности</w:t>
      </w:r>
      <w:r>
        <w:t xml:space="preserve"> (определяется на основе логической структуры); </w:t>
      </w:r>
      <w:r>
        <w:rPr>
          <w:b/>
        </w:rPr>
        <w:t>процент фактического/целевого достижения показателей результативности, направленных на устранение выявленных барьеров и дисбалансов</w:t>
      </w:r>
      <w:r>
        <w:t>.</w:t>
      </w:r>
    </w:p>
    <w:p w14:paraId="02F05EDB" w14:textId="7713AD31" w:rsidR="0039051B" w:rsidRPr="00056B16" w:rsidRDefault="0039051B" w:rsidP="00924FB9">
      <w:pPr>
        <w:pStyle w:val="Ttulo2"/>
        <w:numPr>
          <w:ilvl w:val="1"/>
          <w:numId w:val="8"/>
        </w:numPr>
      </w:pPr>
      <w:r>
        <w:t xml:space="preserve">Анализ VfM </w:t>
      </w:r>
    </w:p>
    <w:p w14:paraId="5A73B78C" w14:textId="12DB200D" w:rsidR="0039051B" w:rsidRPr="00056B16" w:rsidRDefault="0039051B" w:rsidP="0039051B">
      <w:pPr>
        <w:widowControl w:val="0"/>
        <w:jc w:val="both"/>
      </w:pPr>
      <w:r>
        <w:t xml:space="preserve">Анализ VfM будет представлять собой комбинацию следующих методов </w:t>
      </w:r>
    </w:p>
    <w:p w14:paraId="24555459" w14:textId="7CF72EBD" w:rsidR="0039051B" w:rsidRPr="00056B16" w:rsidRDefault="0039051B" w:rsidP="0039051B">
      <w:pPr>
        <w:pStyle w:val="Prrafodelista"/>
        <w:widowControl w:val="0"/>
        <w:numPr>
          <w:ilvl w:val="0"/>
          <w:numId w:val="12"/>
        </w:numPr>
        <w:jc w:val="both"/>
        <w:rPr>
          <w:rFonts w:ascii="Arial" w:hAnsi="Arial" w:cs="Arial"/>
        </w:rPr>
      </w:pPr>
      <w:r>
        <w:rPr>
          <w:rFonts w:ascii="Arial" w:hAnsi="Arial"/>
        </w:rPr>
        <w:t xml:space="preserve">Качественные интервью и групповые дискуссии с командой программы, ключевыми партнерами </w:t>
      </w:r>
    </w:p>
    <w:p w14:paraId="7891A6AE" w14:textId="15E197DE" w:rsidR="0039051B" w:rsidRPr="00056B16" w:rsidRDefault="0039051B" w:rsidP="0039051B">
      <w:pPr>
        <w:pStyle w:val="Prrafodelista"/>
        <w:widowControl w:val="0"/>
        <w:numPr>
          <w:ilvl w:val="0"/>
          <w:numId w:val="12"/>
        </w:numPr>
        <w:jc w:val="both"/>
        <w:rPr>
          <w:rFonts w:ascii="Arial" w:hAnsi="Arial" w:cs="Arial"/>
        </w:rPr>
      </w:pPr>
      <w:r>
        <w:rPr>
          <w:rFonts w:ascii="Arial" w:hAnsi="Arial"/>
        </w:rPr>
        <w:t xml:space="preserve">Анализ IPTT (фактические показатели по сравнению с целевыми) </w:t>
      </w:r>
    </w:p>
    <w:p w14:paraId="28DD840E" w14:textId="77777777" w:rsidR="00F00228" w:rsidRDefault="0039051B" w:rsidP="0039051B">
      <w:pPr>
        <w:pStyle w:val="Prrafodelista"/>
        <w:widowControl w:val="0"/>
        <w:numPr>
          <w:ilvl w:val="0"/>
          <w:numId w:val="12"/>
        </w:numPr>
        <w:jc w:val="both"/>
        <w:rPr>
          <w:rFonts w:ascii="Arial" w:hAnsi="Arial" w:cs="Arial"/>
        </w:rPr>
      </w:pPr>
      <w:r>
        <w:rPr>
          <w:rFonts w:ascii="Arial" w:hAnsi="Arial"/>
        </w:rPr>
        <w:t>Обзор выполнения плана работ</w:t>
      </w:r>
    </w:p>
    <w:p w14:paraId="06B464F0" w14:textId="02BC04CA" w:rsidR="0039051B" w:rsidRPr="00056B16" w:rsidRDefault="00F00228" w:rsidP="0039051B">
      <w:pPr>
        <w:pStyle w:val="Prrafodelista"/>
        <w:widowControl w:val="0"/>
        <w:numPr>
          <w:ilvl w:val="0"/>
          <w:numId w:val="12"/>
        </w:numPr>
        <w:jc w:val="both"/>
        <w:rPr>
          <w:rFonts w:ascii="Arial" w:hAnsi="Arial" w:cs="Arial"/>
        </w:rPr>
      </w:pPr>
      <w:r>
        <w:rPr>
          <w:rFonts w:ascii="Arial" w:hAnsi="Arial"/>
        </w:rPr>
        <w:t xml:space="preserve">Обзор BvA (бюджет и фактические данные) </w:t>
      </w:r>
    </w:p>
    <w:p w14:paraId="51910B40" w14:textId="4D862D88" w:rsidR="0039051B" w:rsidRPr="00056B16" w:rsidRDefault="0039051B" w:rsidP="0039051B">
      <w:pPr>
        <w:pStyle w:val="Prrafodelista"/>
        <w:widowControl w:val="0"/>
        <w:numPr>
          <w:ilvl w:val="0"/>
          <w:numId w:val="12"/>
        </w:numPr>
        <w:jc w:val="both"/>
        <w:rPr>
          <w:rFonts w:ascii="Arial" w:hAnsi="Arial" w:cs="Arial"/>
        </w:rPr>
      </w:pPr>
      <w:r>
        <w:rPr>
          <w:rFonts w:ascii="Arial" w:hAnsi="Arial"/>
        </w:rPr>
        <w:t xml:space="preserve">Проверка других документов. </w:t>
      </w:r>
    </w:p>
    <w:p w14:paraId="44697BB4" w14:textId="72430450" w:rsidR="0039051B" w:rsidRPr="00056B16" w:rsidRDefault="0039051B" w:rsidP="0039051B">
      <w:pPr>
        <w:widowControl w:val="0"/>
        <w:jc w:val="both"/>
      </w:pPr>
      <w:r>
        <w:t xml:space="preserve">Ожидается, что фирма предложит необходимое количество интервью с ключевыми информантами (KII) и/или групповых обсуждений (GD) и опишет, с кем они будут проводиться и почему. Для анализа KII, GD необходимо использовать качественное программное обеспечение. Фирма должна предложить, как она намерена организовывать, анализировать и интерпретировать разнообразные источники данных (в том числе, как она может триангулировать данные, где это необходимо). </w:t>
      </w:r>
    </w:p>
    <w:p w14:paraId="3DAF9F07" w14:textId="3C55A54D" w:rsidR="00DF1655" w:rsidRPr="00DF1655" w:rsidRDefault="00DF1655" w:rsidP="00924FB9">
      <w:pPr>
        <w:pStyle w:val="Ttulo2"/>
      </w:pPr>
      <w:r w:rsidRPr="00924FB9">
        <w:t xml:space="preserve">Обязанность Mercy Corps </w:t>
      </w:r>
    </w:p>
    <w:p w14:paraId="4ED28270" w14:textId="1351F608" w:rsidR="00DF1655" w:rsidRDefault="00DF1655" w:rsidP="00924FB9">
      <w:pPr>
        <w:widowControl w:val="0"/>
        <w:jc w:val="both"/>
      </w:pPr>
      <w:r>
        <w:t xml:space="preserve">Mercy Corps обязуется </w:t>
      </w:r>
    </w:p>
    <w:p w14:paraId="4F299FFA" w14:textId="2898DF13" w:rsidR="00DF1655" w:rsidRPr="00924FB9" w:rsidRDefault="00DF1655" w:rsidP="00924FB9">
      <w:pPr>
        <w:numPr>
          <w:ilvl w:val="0"/>
          <w:numId w:val="1"/>
        </w:numPr>
      </w:pPr>
      <w:r w:rsidRPr="00924FB9">
        <w:t>оказывать поддержку в определении документации для проверки и того, как следует интерпретировать данные</w:t>
      </w:r>
      <w:r>
        <w:t>;</w:t>
      </w:r>
    </w:p>
    <w:p w14:paraId="0AEB2B31" w14:textId="1B335D0D" w:rsidR="00DF1655" w:rsidRPr="00924FB9" w:rsidRDefault="00DF1655" w:rsidP="00924FB9">
      <w:pPr>
        <w:numPr>
          <w:ilvl w:val="0"/>
          <w:numId w:val="1"/>
        </w:numPr>
      </w:pPr>
      <w:r>
        <w:t>предоставить структуру методологии, основанную на структуре</w:t>
      </w:r>
      <w:r w:rsidRPr="00924FB9">
        <w:t xml:space="preserve"> VfM</w:t>
      </w:r>
      <w:r>
        <w:t xml:space="preserve"> MC</w:t>
      </w:r>
      <w:r w:rsidRPr="00924FB9">
        <w:t>. Ожидается, что консультант подробно расскажет об этом</w:t>
      </w:r>
      <w:r>
        <w:t>;</w:t>
      </w:r>
    </w:p>
    <w:p w14:paraId="3E56EA8D" w14:textId="50D905C4" w:rsidR="00DF1655" w:rsidRPr="00924FB9" w:rsidRDefault="00DF1655" w:rsidP="00924FB9">
      <w:pPr>
        <w:numPr>
          <w:ilvl w:val="0"/>
          <w:numId w:val="1"/>
        </w:numPr>
      </w:pPr>
      <w:r w:rsidRPr="00924FB9">
        <w:t>обеспечить поддержку для сбора любых дополнительных данных, необходимых для анализа затрат</w:t>
      </w:r>
      <w:r>
        <w:t>;</w:t>
      </w:r>
    </w:p>
    <w:p w14:paraId="23115A2A" w14:textId="602BF71A" w:rsidR="00DF1655" w:rsidRDefault="00DF1655" w:rsidP="00DF1655">
      <w:pPr>
        <w:numPr>
          <w:ilvl w:val="0"/>
          <w:numId w:val="1"/>
        </w:numPr>
      </w:pPr>
      <w:r>
        <w:t>провести обучение по VfM для команды из Зандалии. Ожидается, что консультант поможет с подготовкой и доставкой материалов.</w:t>
      </w:r>
    </w:p>
    <w:p w14:paraId="3A4A41E2" w14:textId="743E74FA" w:rsidR="00BA2674" w:rsidRPr="00056B16" w:rsidRDefault="00BA2674" w:rsidP="00924FB9">
      <w:pPr>
        <w:pStyle w:val="Ttulo2"/>
      </w:pPr>
      <w:r>
        <w:lastRenderedPageBreak/>
        <w:t>Качество данных, безопасность и защита людей.</w:t>
      </w:r>
    </w:p>
    <w:p w14:paraId="4DCE55C4" w14:textId="67E42F04" w:rsidR="00BA2674" w:rsidRPr="00056B16" w:rsidRDefault="00BA2674" w:rsidP="00BA2674">
      <w:pPr>
        <w:pBdr>
          <w:top w:val="nil"/>
          <w:left w:val="nil"/>
          <w:bottom w:val="nil"/>
          <w:right w:val="nil"/>
          <w:between w:val="nil"/>
        </w:pBdr>
        <w:jc w:val="both"/>
        <w:rPr>
          <w:color w:val="000000"/>
        </w:rPr>
      </w:pPr>
      <w:r>
        <w:rPr>
          <w:color w:val="000000"/>
        </w:rPr>
        <w:t xml:space="preserve">Качество данных не должно подвергаться риску, и следует проявлять максимальную осторожность, чтобы избежать или, по крайней мере, свести к минимуму ошибки на всех этапах сбора данных. </w:t>
      </w:r>
      <w:r w:rsidR="002874AF">
        <w:rPr>
          <w:color w:val="000000"/>
        </w:rPr>
        <w:t>З</w:t>
      </w:r>
      <w:r>
        <w:rPr>
          <w:color w:val="000000"/>
        </w:rPr>
        <w:t>ащита личной информации (PII), а также безопасность и благополучие участников (защита людей) также должны быть описаны в техническом предложении.</w:t>
      </w:r>
    </w:p>
    <w:p w14:paraId="7FBD11CC" w14:textId="50EDBF57" w:rsidR="00BA2674" w:rsidRPr="00056B16" w:rsidRDefault="00BA2674" w:rsidP="00924FB9">
      <w:pPr>
        <w:pStyle w:val="Ttulo2"/>
      </w:pPr>
      <w:r>
        <w:t>Предоставление выводов/соображений.</w:t>
      </w:r>
    </w:p>
    <w:p w14:paraId="1360B7E6" w14:textId="2688FBCC" w:rsidR="00BA2674" w:rsidRPr="00056B16" w:rsidRDefault="00BA2674" w:rsidP="00BA2674">
      <w:pPr>
        <w:jc w:val="both"/>
      </w:pPr>
      <w:r>
        <w:t xml:space="preserve">Необходимо представить окончательный отчет, а фирма должна организовать и провести презентацию полученных результатов с использованием подхода, основанного на осмыслении результатов, для команды Zandalia и других сотрудников и партнеров Mercy Corps, если Mercy Corps сочтет это целесообразным. </w:t>
      </w:r>
    </w:p>
    <w:p w14:paraId="007B9E8B" w14:textId="5C47078F" w:rsidR="00BA2674" w:rsidRPr="00056B16" w:rsidRDefault="00BA2674" w:rsidP="00924FB9">
      <w:pPr>
        <w:pStyle w:val="Ttulo2"/>
      </w:pPr>
      <w:r>
        <w:t>Состав команды.</w:t>
      </w:r>
    </w:p>
    <w:p w14:paraId="4A0FEB29" w14:textId="12934D61" w:rsidR="000B2FA9" w:rsidRDefault="00BA2674" w:rsidP="000B2FA9">
      <w:pPr>
        <w:tabs>
          <w:tab w:val="left" w:pos="1032"/>
        </w:tabs>
        <w:rPr>
          <w:rStyle w:val="eop"/>
          <w:color w:val="000000"/>
          <w:shd w:val="clear" w:color="auto" w:fill="FFFFFF"/>
        </w:rPr>
      </w:pPr>
      <w:r>
        <w:t xml:space="preserve">Фирма должна предложить экономически эффективную команду для проведения данного анализа. Задачи членов команды должны быть описаны в разделе II (техническое предложение), но в разделе III («Предложение LOE») необходимо указать должность/функцию каждого члена. </w:t>
      </w:r>
      <w:r>
        <w:rPr>
          <w:rStyle w:val="normaltextrun"/>
          <w:color w:val="000000"/>
          <w:shd w:val="clear" w:color="auto" w:fill="FFFFFF"/>
        </w:rPr>
        <w:t xml:space="preserve">Обратите внимание, что предлагаемый состав команды </w:t>
      </w:r>
      <w:r>
        <w:rPr>
          <w:rStyle w:val="normaltextrun"/>
          <w:b/>
          <w:color w:val="000000"/>
          <w:shd w:val="clear" w:color="auto" w:fill="FFFFFF"/>
        </w:rPr>
        <w:t>необязательно должен соответствовать или включать две роли, описанные в разделе Представление резюме</w:t>
      </w:r>
      <w:r>
        <w:rPr>
          <w:rStyle w:val="normaltextrun"/>
          <w:color w:val="000000"/>
          <w:shd w:val="clear" w:color="auto" w:fill="FFFFFF"/>
        </w:rPr>
        <w:t xml:space="preserve"> – два профиля, описанные в разделе 10, предназначены только для представления резюме.</w:t>
      </w:r>
      <w:r>
        <w:rPr>
          <w:rStyle w:val="eop"/>
          <w:color w:val="000000"/>
          <w:shd w:val="clear" w:color="auto" w:fill="FFFFFF"/>
        </w:rPr>
        <w:t> </w:t>
      </w:r>
    </w:p>
    <w:p w14:paraId="5F0B0C52" w14:textId="6BA9CADA" w:rsidR="000B2FA9" w:rsidRPr="00924FB9" w:rsidRDefault="000B2FA9" w:rsidP="00924FB9">
      <w:pPr>
        <w:pStyle w:val="Ttulo2"/>
        <w:rPr>
          <w:rFonts w:ascii="Segoe UI" w:hAnsi="Segoe UI" w:cs="Segoe UI"/>
        </w:rPr>
      </w:pPr>
      <w:r w:rsidRPr="00924FB9">
        <w:t>Представление резюме </w:t>
      </w:r>
    </w:p>
    <w:p w14:paraId="45E48566" w14:textId="77777777" w:rsidR="000B2FA9" w:rsidRDefault="000B2FA9" w:rsidP="00924FB9">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olor w:val="000000"/>
          <w:sz w:val="22"/>
        </w:rPr>
        <w:t xml:space="preserve">Предоставьте одно резюме действующего сотрудника на две перечисленные ниже должности (всего не более 2 резюме). </w:t>
      </w:r>
      <w:r>
        <w:rPr>
          <w:rStyle w:val="normaltextrun"/>
          <w:rFonts w:ascii="Arial" w:hAnsi="Arial"/>
          <w:b/>
          <w:color w:val="000000"/>
          <w:sz w:val="22"/>
        </w:rPr>
        <w:t>Используйте предоставленный шаблон резюме</w:t>
      </w:r>
      <w:r>
        <w:rPr>
          <w:rStyle w:val="normaltextrun"/>
          <w:rFonts w:ascii="Arial" w:hAnsi="Arial"/>
          <w:color w:val="000000"/>
          <w:sz w:val="22"/>
        </w:rPr>
        <w:t xml:space="preserve">. Компании должны представить сотрудников, которые, по их мнению, наиболее квалифицированы для этого проекта. </w:t>
      </w:r>
      <w:r>
        <w:rPr>
          <w:rStyle w:val="normaltextrun"/>
          <w:rFonts w:ascii="Arial" w:hAnsi="Arial"/>
          <w:b/>
          <w:color w:val="000000"/>
          <w:sz w:val="22"/>
        </w:rPr>
        <w:t>Представленные резюме не обязательно должны соответствовать должностям или персоналу, указанному в разделе «Предложение LOE».</w:t>
      </w:r>
      <w:r>
        <w:rPr>
          <w:rStyle w:val="normaltextrun"/>
          <w:rFonts w:ascii="Arial" w:hAnsi="Arial"/>
          <w:color w:val="000000"/>
          <w:sz w:val="22"/>
        </w:rPr>
        <w:t xml:space="preserve"> Отправьте следующие резюме: </w:t>
      </w:r>
      <w:r>
        <w:rPr>
          <w:rStyle w:val="eop"/>
          <w:rFonts w:ascii="Arial" w:hAnsi="Arial"/>
          <w:color w:val="000000"/>
          <w:sz w:val="22"/>
        </w:rPr>
        <w:t> </w:t>
      </w:r>
    </w:p>
    <w:p w14:paraId="6ADE6B33" w14:textId="77777777" w:rsidR="000B2FA9" w:rsidRDefault="000B2FA9" w:rsidP="000B2F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hAnsi="Arial"/>
          <w:color w:val="000000"/>
          <w:sz w:val="22"/>
        </w:rPr>
        <w:t>Руководитель проекта/специалист старшего уровня</w:t>
      </w:r>
      <w:r>
        <w:rPr>
          <w:rStyle w:val="eop"/>
          <w:rFonts w:ascii="Arial" w:hAnsi="Arial"/>
          <w:color w:val="000000"/>
          <w:sz w:val="22"/>
        </w:rPr>
        <w:t> </w:t>
      </w:r>
    </w:p>
    <w:p w14:paraId="45262877" w14:textId="6F55487C" w:rsidR="00EC1DA2" w:rsidRPr="00B23E2C" w:rsidRDefault="000B2FA9" w:rsidP="00924FB9">
      <w:pPr>
        <w:pStyle w:val="paragraph"/>
        <w:numPr>
          <w:ilvl w:val="0"/>
          <w:numId w:val="19"/>
        </w:numPr>
        <w:spacing w:before="0" w:beforeAutospacing="0" w:after="0" w:afterAutospacing="0"/>
        <w:ind w:left="1080" w:firstLine="0"/>
        <w:textAlignment w:val="baseline"/>
      </w:pPr>
      <w:r>
        <w:rPr>
          <w:rStyle w:val="normaltextrun"/>
          <w:rFonts w:ascii="Arial" w:hAnsi="Arial"/>
          <w:color w:val="000000"/>
          <w:sz w:val="22"/>
        </w:rPr>
        <w:t>Исследователь/аналитик среднего звена</w:t>
      </w:r>
      <w:r>
        <w:rPr>
          <w:rStyle w:val="eop"/>
          <w:rFonts w:ascii="Arial" w:hAnsi="Arial"/>
          <w:color w:val="000000"/>
          <w:sz w:val="22"/>
        </w:rPr>
        <w:t> </w:t>
      </w:r>
    </w:p>
    <w:p w14:paraId="1220D87D" w14:textId="77777777" w:rsidR="00F7638C" w:rsidRPr="00924FB9" w:rsidRDefault="00F7638C" w:rsidP="00924FB9">
      <w:pPr>
        <w:pStyle w:val="Ttulo2"/>
        <w:rPr>
          <w:b w:val="0"/>
        </w:rPr>
      </w:pPr>
      <w:r>
        <w:t>Объем мероприятий для составления бюджета.</w:t>
      </w:r>
    </w:p>
    <w:p w14:paraId="111DEDC8" w14:textId="35B63C00" w:rsidR="00F7638C" w:rsidRPr="0095157B" w:rsidRDefault="00F7638C" w:rsidP="00F7638C">
      <w:pPr>
        <w:spacing w:after="0"/>
        <w:jc w:val="both"/>
        <w:rPr>
          <w:bCs/>
        </w:rPr>
      </w:pPr>
      <w:r>
        <w:t xml:space="preserve">Поскольку Зандалия — вымышленная страна, выберите одну и только одну из эталонных стран, перечисленных ниже, в качестве основы для вашего предложения LOE для данного макета SOW; разделы D и E. </w:t>
      </w:r>
      <w:r>
        <w:rPr>
          <w:u w:val="single"/>
        </w:rPr>
        <w:t>Нельзя выбирать страну, в которой находится штаб-квартира вашей фирмы</w:t>
      </w:r>
      <w:r>
        <w:t xml:space="preserve">. Выбор страны не означает, что вы могли или можете вести работу в этой стране. </w:t>
      </w:r>
    </w:p>
    <w:p w14:paraId="4437D83D" w14:textId="77777777" w:rsidR="00F7638C" w:rsidRPr="0095157B" w:rsidRDefault="00F7638C" w:rsidP="00F7638C">
      <w:pPr>
        <w:spacing w:after="0"/>
        <w:jc w:val="both"/>
        <w:rPr>
          <w:bCs/>
        </w:rPr>
      </w:pPr>
    </w:p>
    <w:tbl>
      <w:tblPr>
        <w:tblStyle w:val="Tablaconcuadrcula"/>
        <w:tblW w:w="0" w:type="auto"/>
        <w:jc w:val="center"/>
        <w:tblLook w:val="04A0" w:firstRow="1" w:lastRow="0" w:firstColumn="1" w:lastColumn="0" w:noHBand="0" w:noVBand="1"/>
      </w:tblPr>
      <w:tblGrid>
        <w:gridCol w:w="4320"/>
      </w:tblGrid>
      <w:tr w:rsidR="00F7638C" w:rsidRPr="0095157B" w14:paraId="28A9E8B1" w14:textId="77777777" w:rsidTr="00924FB9">
        <w:trPr>
          <w:jc w:val="center"/>
        </w:trPr>
        <w:tc>
          <w:tcPr>
            <w:tcW w:w="4320" w:type="dxa"/>
          </w:tcPr>
          <w:p w14:paraId="2D6F7A0C" w14:textId="77777777" w:rsidR="00F7638C" w:rsidRPr="003B5E0C" w:rsidRDefault="00F7638C" w:rsidP="0089400D">
            <w:pPr>
              <w:spacing w:after="0"/>
              <w:jc w:val="both"/>
              <w:rPr>
                <w:rFonts w:ascii="Arial" w:hAnsi="Arial" w:cs="Arial"/>
                <w:bCs/>
              </w:rPr>
            </w:pPr>
            <w:r>
              <w:lastRenderedPageBreak/>
              <w:t>Эталонные страны (выберите только одну)</w:t>
            </w:r>
          </w:p>
        </w:tc>
      </w:tr>
      <w:tr w:rsidR="00F7638C" w:rsidRPr="0095157B" w14:paraId="41A3748D" w14:textId="77777777" w:rsidTr="00924FB9">
        <w:trPr>
          <w:jc w:val="center"/>
        </w:trPr>
        <w:tc>
          <w:tcPr>
            <w:tcW w:w="4320" w:type="dxa"/>
          </w:tcPr>
          <w:p w14:paraId="195088F9"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 xml:space="preserve">Гватемала </w:t>
            </w:r>
          </w:p>
        </w:tc>
      </w:tr>
      <w:tr w:rsidR="00F7638C" w:rsidRPr="0095157B" w14:paraId="41C64FF4" w14:textId="77777777" w:rsidTr="00924FB9">
        <w:trPr>
          <w:jc w:val="center"/>
        </w:trPr>
        <w:tc>
          <w:tcPr>
            <w:tcW w:w="4320" w:type="dxa"/>
            <w:tcBorders>
              <w:bottom w:val="single" w:sz="4" w:space="0" w:color="auto"/>
            </w:tcBorders>
          </w:tcPr>
          <w:p w14:paraId="36BB12A0"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Колумбия</w:t>
            </w:r>
          </w:p>
        </w:tc>
      </w:tr>
      <w:tr w:rsidR="00F7638C" w:rsidRPr="0095157B" w14:paraId="4ECD5541" w14:textId="77777777" w:rsidTr="00924FB9">
        <w:trPr>
          <w:jc w:val="center"/>
        </w:trPr>
        <w:tc>
          <w:tcPr>
            <w:tcW w:w="4320" w:type="dxa"/>
            <w:shd w:val="clear" w:color="auto" w:fill="auto"/>
          </w:tcPr>
          <w:p w14:paraId="6FF61695"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Буркина-Фасо</w:t>
            </w:r>
          </w:p>
        </w:tc>
      </w:tr>
      <w:tr w:rsidR="00F7638C" w:rsidRPr="0095157B" w14:paraId="2DFDD417" w14:textId="77777777" w:rsidTr="00924FB9">
        <w:trPr>
          <w:jc w:val="center"/>
        </w:trPr>
        <w:tc>
          <w:tcPr>
            <w:tcW w:w="4320" w:type="dxa"/>
            <w:shd w:val="clear" w:color="auto" w:fill="auto"/>
          </w:tcPr>
          <w:p w14:paraId="364C73A8"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Сенегал</w:t>
            </w:r>
          </w:p>
        </w:tc>
      </w:tr>
      <w:tr w:rsidR="00F7638C" w:rsidRPr="0095157B" w14:paraId="084E28E4" w14:textId="77777777" w:rsidTr="00924FB9">
        <w:trPr>
          <w:jc w:val="center"/>
        </w:trPr>
        <w:tc>
          <w:tcPr>
            <w:tcW w:w="4320" w:type="dxa"/>
            <w:shd w:val="clear" w:color="auto" w:fill="auto"/>
          </w:tcPr>
          <w:p w14:paraId="7DBE4AF2"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Уганда</w:t>
            </w:r>
          </w:p>
        </w:tc>
      </w:tr>
      <w:tr w:rsidR="00F7638C" w:rsidRPr="0095157B" w14:paraId="03E3EE63" w14:textId="77777777" w:rsidTr="00924FB9">
        <w:trPr>
          <w:jc w:val="center"/>
        </w:trPr>
        <w:tc>
          <w:tcPr>
            <w:tcW w:w="4320" w:type="dxa"/>
            <w:tcBorders>
              <w:bottom w:val="single" w:sz="4" w:space="0" w:color="auto"/>
            </w:tcBorders>
            <w:shd w:val="clear" w:color="auto" w:fill="auto"/>
          </w:tcPr>
          <w:p w14:paraId="398379C9"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Эфиопия</w:t>
            </w:r>
          </w:p>
        </w:tc>
      </w:tr>
      <w:tr w:rsidR="00F7638C" w:rsidRPr="0095157B" w14:paraId="71769FD7" w14:textId="77777777" w:rsidTr="00924FB9">
        <w:trPr>
          <w:jc w:val="center"/>
        </w:trPr>
        <w:tc>
          <w:tcPr>
            <w:tcW w:w="4320" w:type="dxa"/>
            <w:shd w:val="clear" w:color="auto" w:fill="auto"/>
          </w:tcPr>
          <w:p w14:paraId="5A3D01B0"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Ирак</w:t>
            </w:r>
          </w:p>
        </w:tc>
      </w:tr>
      <w:tr w:rsidR="00F7638C" w:rsidRPr="0095157B" w14:paraId="7A02E6F6" w14:textId="77777777" w:rsidTr="00924FB9">
        <w:trPr>
          <w:jc w:val="center"/>
        </w:trPr>
        <w:tc>
          <w:tcPr>
            <w:tcW w:w="4320" w:type="dxa"/>
            <w:shd w:val="clear" w:color="auto" w:fill="auto"/>
          </w:tcPr>
          <w:p w14:paraId="6EDEF250"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 xml:space="preserve">Афганистан </w:t>
            </w:r>
          </w:p>
        </w:tc>
      </w:tr>
      <w:tr w:rsidR="00F7638C" w:rsidRPr="0095157B" w14:paraId="6D7E8DA5" w14:textId="77777777" w:rsidTr="00924FB9">
        <w:trPr>
          <w:jc w:val="center"/>
        </w:trPr>
        <w:tc>
          <w:tcPr>
            <w:tcW w:w="4320" w:type="dxa"/>
            <w:shd w:val="clear" w:color="auto" w:fill="auto"/>
          </w:tcPr>
          <w:p w14:paraId="5C636DF7"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Непал</w:t>
            </w:r>
          </w:p>
        </w:tc>
      </w:tr>
      <w:tr w:rsidR="00F7638C" w14:paraId="294ED5FC" w14:textId="77777777" w:rsidTr="00924FB9">
        <w:trPr>
          <w:jc w:val="center"/>
        </w:trPr>
        <w:tc>
          <w:tcPr>
            <w:tcW w:w="4320" w:type="dxa"/>
          </w:tcPr>
          <w:p w14:paraId="2B0CE8E1" w14:textId="77777777" w:rsidR="00F7638C" w:rsidRPr="003B5E0C" w:rsidRDefault="00F7638C" w:rsidP="00F7638C">
            <w:pPr>
              <w:pStyle w:val="Prrafodelista"/>
              <w:numPr>
                <w:ilvl w:val="0"/>
                <w:numId w:val="14"/>
              </w:numPr>
              <w:spacing w:after="0" w:line="240" w:lineRule="auto"/>
              <w:jc w:val="both"/>
              <w:rPr>
                <w:rFonts w:ascii="Arial" w:hAnsi="Arial" w:cs="Arial"/>
                <w:bCs/>
              </w:rPr>
            </w:pPr>
            <w:r>
              <w:rPr>
                <w:rFonts w:ascii="Arial" w:hAnsi="Arial"/>
              </w:rPr>
              <w:t>Индонезия</w:t>
            </w:r>
          </w:p>
        </w:tc>
      </w:tr>
    </w:tbl>
    <w:p w14:paraId="0C43D0A0" w14:textId="1144645E" w:rsidR="004A540E" w:rsidRDefault="00DF1655" w:rsidP="00DF1655">
      <w:pPr>
        <w:pStyle w:val="Ttulo2"/>
      </w:pPr>
      <w:r>
        <w:t>Расписание</w:t>
      </w:r>
    </w:p>
    <w:p w14:paraId="0540C8A0" w14:textId="6ADDF688" w:rsidR="00DF1655" w:rsidRPr="0079264E" w:rsidRDefault="00DF1655" w:rsidP="00DF1655">
      <w:pPr>
        <w:jc w:val="both"/>
        <w:rPr>
          <w:bCs/>
        </w:rPr>
      </w:pPr>
      <w:r>
        <w:t xml:space="preserve">Фирма должна предложить общий график завершения этой оценки и представления окончательного отчета не позднее 15 мая 2024 г.  Предлагаемый график должен соответствовать ресурсам, выделенным в технических разделах и разделах LOE предложений. </w:t>
      </w:r>
    </w:p>
    <w:p w14:paraId="20A749F7" w14:textId="77777777" w:rsidR="004A540E" w:rsidRDefault="00D172B2" w:rsidP="00924FB9">
      <w:pPr>
        <w:pStyle w:val="Ttulo2"/>
      </w:pPr>
      <w:r>
        <w:t>Результаты</w:t>
      </w:r>
    </w:p>
    <w:p w14:paraId="4CCD5947" w14:textId="77777777" w:rsidR="004A540E" w:rsidRDefault="00D172B2">
      <w:pPr>
        <w:jc w:val="both"/>
      </w:pPr>
      <w:r>
        <w:t>Задание приведет к получению следующих результатов:</w:t>
      </w:r>
    </w:p>
    <w:p w14:paraId="152D8AF4" w14:textId="2EC7A123" w:rsidR="00A6604B" w:rsidRDefault="00D172B2" w:rsidP="000019DE">
      <w:pPr>
        <w:numPr>
          <w:ilvl w:val="0"/>
          <w:numId w:val="1"/>
        </w:numPr>
      </w:pPr>
      <w:r>
        <w:t>Начальный отчет VfM (включая инструменты сбора данных и аналитическую структуру)</w:t>
      </w:r>
    </w:p>
    <w:p w14:paraId="1CEA379C" w14:textId="77777777" w:rsidR="006562EA" w:rsidRDefault="006562EA" w:rsidP="006562EA">
      <w:pPr>
        <w:numPr>
          <w:ilvl w:val="0"/>
          <w:numId w:val="1"/>
        </w:numPr>
      </w:pPr>
      <w:r>
        <w:t>Итоговый отчет VfM и резюме (на одной странице)</w:t>
      </w:r>
    </w:p>
    <w:p w14:paraId="0F9D4D8D" w14:textId="77777777" w:rsidR="00A6604B" w:rsidRDefault="00A6604B" w:rsidP="00A6604B">
      <w:pPr>
        <w:widowControl w:val="0"/>
        <w:jc w:val="both"/>
      </w:pPr>
      <w:r>
        <w:t xml:space="preserve">Отчеты должны быть написаны на английском, испанском или французском языках, а при необходимости резюме должно быть переведено на язык страны, где проводится анализ (например, английский, французский, испанский, арабский или русский). Обязательно укажите </w:t>
      </w:r>
      <w:r>
        <w:rPr>
          <w:u w:val="single"/>
        </w:rPr>
        <w:t>в разделе II (техническое предложение), на каком из этих языков ваша фирма представит отчет, а также резюме и инструменты сбора данных</w:t>
      </w:r>
      <w:r>
        <w:t xml:space="preserve">. </w:t>
      </w:r>
    </w:p>
    <w:p w14:paraId="1A279E5F" w14:textId="585D5546" w:rsidR="00A6604B" w:rsidRDefault="00A6604B" w:rsidP="00A6604B">
      <w:pPr>
        <w:widowControl w:val="0"/>
        <w:jc w:val="both"/>
      </w:pPr>
      <w:r>
        <w:t xml:space="preserve">Mercy Corps предоставит консолидированный отзыв по отчету Draft1 при условии, что отчет является полным и представлен так, как если бы он был окончательным (т. е. не является «черновым проектом со всем разделами, кроме приложений). В Draft2 будут учтены отзывы Mercy Corps, а затем Mercy Corps предоставит окончательный консолидированный отзыв, позволяющий фирме представить окончательный отчет. Таким образом, существует только два раунда пересмотра отчета. </w:t>
      </w:r>
    </w:p>
    <w:p w14:paraId="3D708F00" w14:textId="77777777" w:rsidR="00486559" w:rsidRDefault="00486559" w:rsidP="00A6604B">
      <w:pPr>
        <w:widowControl w:val="0"/>
        <w:jc w:val="both"/>
      </w:pPr>
    </w:p>
    <w:p w14:paraId="3AB3C50B" w14:textId="77777777" w:rsidR="00540FF1" w:rsidRPr="00056B16" w:rsidRDefault="00540FF1" w:rsidP="00540FF1">
      <w:pPr>
        <w:pStyle w:val="Ttulo2"/>
      </w:pPr>
      <w:r>
        <w:t xml:space="preserve">Структура итогового отчета </w:t>
      </w:r>
    </w:p>
    <w:p w14:paraId="1D9B1D5A" w14:textId="212D1E09" w:rsidR="00540FF1" w:rsidRDefault="00540FF1" w:rsidP="00540FF1">
      <w:pPr>
        <w:jc w:val="both"/>
      </w:pPr>
      <w:r>
        <w:t xml:space="preserve">Итоговый отчет </w:t>
      </w:r>
      <w:r w:rsidR="008D260A">
        <w:t>объемом</w:t>
      </w:r>
      <w:r>
        <w:t xml:space="preserve"> не более 15 страниц (без учета приложений) будет иметь следующую структуру:</w:t>
      </w:r>
    </w:p>
    <w:p w14:paraId="62C1BDD1" w14:textId="77777777" w:rsidR="00540FF1" w:rsidRDefault="00540FF1" w:rsidP="00540FF1">
      <w:pPr>
        <w:numPr>
          <w:ilvl w:val="0"/>
          <w:numId w:val="15"/>
        </w:numPr>
        <w:jc w:val="both"/>
      </w:pPr>
      <w:r>
        <w:t>Обзор исходной и программной документации</w:t>
      </w:r>
    </w:p>
    <w:p w14:paraId="3D9BD6A3" w14:textId="77777777" w:rsidR="00540FF1" w:rsidRDefault="00540FF1" w:rsidP="00540FF1">
      <w:pPr>
        <w:numPr>
          <w:ilvl w:val="0"/>
          <w:numId w:val="15"/>
        </w:numPr>
        <w:jc w:val="both"/>
      </w:pPr>
      <w:r>
        <w:lastRenderedPageBreak/>
        <w:t>Методология и ограничения</w:t>
      </w:r>
    </w:p>
    <w:p w14:paraId="1E8611A5" w14:textId="77777777" w:rsidR="00540FF1" w:rsidRDefault="00540FF1" w:rsidP="00540FF1">
      <w:pPr>
        <w:numPr>
          <w:ilvl w:val="0"/>
          <w:numId w:val="15"/>
        </w:numPr>
        <w:jc w:val="both"/>
      </w:pPr>
      <w:r>
        <w:t>Итоги</w:t>
      </w:r>
    </w:p>
    <w:p w14:paraId="185FA609" w14:textId="77777777" w:rsidR="00540FF1" w:rsidRDefault="00540FF1" w:rsidP="00540FF1">
      <w:pPr>
        <w:numPr>
          <w:ilvl w:val="0"/>
          <w:numId w:val="15"/>
        </w:numPr>
        <w:jc w:val="both"/>
      </w:pPr>
      <w:r>
        <w:t>Рекомендации</w:t>
      </w:r>
    </w:p>
    <w:p w14:paraId="28715880" w14:textId="77777777" w:rsidR="00540FF1" w:rsidRDefault="00540FF1" w:rsidP="00540FF1">
      <w:pPr>
        <w:jc w:val="both"/>
      </w:pPr>
      <w:r>
        <w:t xml:space="preserve">Пример того, как может выглядеть конечный продукт, можно найти </w:t>
      </w:r>
      <w:hyperlink r:id="rId12" w:history="1">
        <w:r>
          <w:rPr>
            <w:rStyle w:val="Hipervnculo"/>
          </w:rPr>
          <w:t>здесь.</w:t>
        </w:r>
      </w:hyperlink>
    </w:p>
    <w:p w14:paraId="20E8F741" w14:textId="719CB3F3" w:rsidR="004A540E" w:rsidRPr="00924FB9" w:rsidRDefault="00D172B2" w:rsidP="00924FB9">
      <w:pPr>
        <w:pStyle w:val="Ttulo2"/>
      </w:pPr>
      <w:r w:rsidRPr="00924FB9">
        <w:t>Распространение и последующая деятельность</w:t>
      </w:r>
    </w:p>
    <w:p w14:paraId="4E16899E" w14:textId="7C437499" w:rsidR="004A540E" w:rsidRDefault="00D172B2">
      <w:pPr>
        <w:jc w:val="both"/>
      </w:pPr>
      <w:r>
        <w:t xml:space="preserve">Результаты исследования будут переданы членам консорциума VE, Dioptra, а также внутренним заинтересованным сторонам </w:t>
      </w:r>
      <w:r w:rsidR="008D260A">
        <w:t>Mercy Corps</w:t>
      </w:r>
      <w:r>
        <w:t xml:space="preserve"> (TSU, руководству региональных отделений, отдела исследований и обучения, руководству глобальных программ, финансовому руководству и так далее, если это применимо). В зависимости от результатов, они также могут быть опубликованы в качестве тематического исследования на веб-сайте Dioptra и/или переданы представителям доноров программы.</w:t>
      </w:r>
      <w:r>
        <w:rPr>
          <w:sz w:val="20"/>
        </w:rPr>
        <w:t xml:space="preserve"> </w:t>
      </w:r>
    </w:p>
    <w:sectPr w:rsidR="004A540E" w:rsidSect="00924FB9">
      <w:headerReference w:type="default" r:id="rId13"/>
      <w:footerReference w:type="default" r:id="rId14"/>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FA99" w14:textId="77777777" w:rsidR="00E576BF" w:rsidRDefault="00E576BF">
      <w:r>
        <w:separator/>
      </w:r>
    </w:p>
  </w:endnote>
  <w:endnote w:type="continuationSeparator" w:id="0">
    <w:p w14:paraId="4F97FD98" w14:textId="77777777" w:rsidR="00E576BF" w:rsidRDefault="00E5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0980"/>
      <w:docPartObj>
        <w:docPartGallery w:val="Page Numbers (Bottom of Page)"/>
        <w:docPartUnique/>
      </w:docPartObj>
    </w:sdtPr>
    <w:sdtContent>
      <w:p w14:paraId="248441DC" w14:textId="6ED4B9B8" w:rsidR="00D65FC1" w:rsidRDefault="00D65FC1">
        <w:pPr>
          <w:pStyle w:val="Piedepgina"/>
          <w:jc w:val="right"/>
        </w:pPr>
        <w:r>
          <w:fldChar w:fldCharType="begin"/>
        </w:r>
        <w:r>
          <w:instrText>PAGE   \* MERGEFORMAT</w:instrText>
        </w:r>
        <w:r>
          <w:fldChar w:fldCharType="separate"/>
        </w:r>
        <w:r w:rsidR="008D260A">
          <w:rPr>
            <w:noProof/>
          </w:rPr>
          <w:t>7</w:t>
        </w:r>
        <w:r>
          <w:fldChar w:fldCharType="end"/>
        </w:r>
      </w:p>
    </w:sdtContent>
  </w:sdt>
  <w:p w14:paraId="63FE5AC3" w14:textId="77777777" w:rsidR="00D65FC1" w:rsidRDefault="00D65F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97AC" w14:textId="77777777" w:rsidR="00E576BF" w:rsidRDefault="00E576BF">
      <w:r>
        <w:separator/>
      </w:r>
    </w:p>
  </w:footnote>
  <w:footnote w:type="continuationSeparator" w:id="0">
    <w:p w14:paraId="63A1F1DB" w14:textId="77777777" w:rsidR="00E576BF" w:rsidRDefault="00E576BF">
      <w:r>
        <w:continuationSeparator/>
      </w:r>
    </w:p>
  </w:footnote>
  <w:footnote w:id="1">
    <w:p w14:paraId="118F6F6F" w14:textId="77777777" w:rsidR="00D65FC1" w:rsidRDefault="00D65FC1" w:rsidP="00D65FC1">
      <w:pPr>
        <w:rPr>
          <w:sz w:val="20"/>
          <w:szCs w:val="20"/>
        </w:rPr>
      </w:pPr>
      <w:r>
        <w:rPr>
          <w:vertAlign w:val="superscript"/>
        </w:rPr>
        <w:footnoteRef/>
      </w:r>
      <w:r>
        <w:rPr>
          <w:sz w:val="20"/>
        </w:rPr>
        <w:t xml:space="preserve"> https://www.dioptratool.org/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F46" w14:textId="308A66E5" w:rsidR="0044306F" w:rsidRPr="00924FB9" w:rsidRDefault="0044306F" w:rsidP="00924FB9">
    <w:pPr>
      <w:pStyle w:val="Encabezado"/>
      <w:jc w:val="center"/>
      <w:rPr>
        <w:b/>
        <w:bCs/>
      </w:rPr>
    </w:pPr>
    <w:r w:rsidRPr="00924FB9">
      <w:rPr>
        <w:b/>
        <w:noProof/>
        <w:lang w:val="en-US"/>
      </w:rPr>
      <w:drawing>
        <wp:anchor distT="0" distB="0" distL="114300" distR="114300" simplePos="0" relativeHeight="251658240" behindDoc="0" locked="0" layoutInCell="1" allowOverlap="1" wp14:anchorId="3FF4D778" wp14:editId="30567631">
          <wp:simplePos x="0" y="0"/>
          <wp:positionH relativeFrom="column">
            <wp:posOffset>5172977</wp:posOffset>
          </wp:positionH>
          <wp:positionV relativeFrom="paragraph">
            <wp:posOffset>-198855</wp:posOffset>
          </wp:positionV>
          <wp:extent cx="1455420" cy="547370"/>
          <wp:effectExtent l="0" t="0" r="0" b="5080"/>
          <wp:wrapSquare wrapText="bothSides"/>
          <wp:docPr id="104601739" name="Picture 10460173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55420" cy="547370"/>
                  </a:xfrm>
                  <a:prstGeom prst="rect">
                    <a:avLst/>
                  </a:prstGeom>
                  <a:ln/>
                </pic:spPr>
              </pic:pic>
            </a:graphicData>
          </a:graphic>
          <wp14:sizeRelH relativeFrom="margin">
            <wp14:pctWidth>0</wp14:pctWidth>
          </wp14:sizeRelH>
          <wp14:sizeRelV relativeFrom="margin">
            <wp14:pctHeight>0</wp14:pctHeight>
          </wp14:sizeRelV>
        </wp:anchor>
      </w:drawing>
    </w:r>
    <w:r w:rsidRPr="00924FB9">
      <w:rPr>
        <w:b/>
      </w:rPr>
      <w:t>Техзадание (SOW) на анализ соотношения цены и качества программы VEzperza в Зандалии</w:t>
    </w:r>
  </w:p>
  <w:p w14:paraId="55D5A00E" w14:textId="236387A9" w:rsidR="004A540E" w:rsidRDefault="004A540E" w:rsidP="0044306F">
    <w:pPr>
      <w:jc w:val="right"/>
    </w:pPr>
  </w:p>
  <w:p w14:paraId="6A40864A" w14:textId="77777777" w:rsidR="0044306F" w:rsidRDefault="0044306F" w:rsidP="00924FB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92"/>
    <w:multiLevelType w:val="multilevel"/>
    <w:tmpl w:val="4C3E61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B654BB"/>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6994B8A"/>
    <w:multiLevelType w:val="multilevel"/>
    <w:tmpl w:val="5AEEE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5ACB"/>
    <w:multiLevelType w:val="multilevel"/>
    <w:tmpl w:val="AC8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24234"/>
    <w:multiLevelType w:val="hybridMultilevel"/>
    <w:tmpl w:val="1740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6AC9"/>
    <w:multiLevelType w:val="hybridMultilevel"/>
    <w:tmpl w:val="9904AEE2"/>
    <w:lvl w:ilvl="0" w:tplc="C2744EB8">
      <w:start w:val="1"/>
      <w:numFmt w:val="decimal"/>
      <w:pStyle w:val="Ttulo2"/>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EB4C96"/>
    <w:multiLevelType w:val="multilevel"/>
    <w:tmpl w:val="9C40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B07F3"/>
    <w:multiLevelType w:val="multilevel"/>
    <w:tmpl w:val="65887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94D34"/>
    <w:multiLevelType w:val="multilevel"/>
    <w:tmpl w:val="3400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44358D"/>
    <w:multiLevelType w:val="multilevel"/>
    <w:tmpl w:val="63FC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F01D62"/>
    <w:multiLevelType w:val="multilevel"/>
    <w:tmpl w:val="D36EB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260284"/>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B3AF8"/>
    <w:multiLevelType w:val="multilevel"/>
    <w:tmpl w:val="7AEC383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2672406">
    <w:abstractNumId w:val="8"/>
  </w:num>
  <w:num w:numId="2" w16cid:durableId="1430470731">
    <w:abstractNumId w:val="1"/>
  </w:num>
  <w:num w:numId="3" w16cid:durableId="797915309">
    <w:abstractNumId w:val="2"/>
  </w:num>
  <w:num w:numId="4" w16cid:durableId="497234263">
    <w:abstractNumId w:val="11"/>
  </w:num>
  <w:num w:numId="5" w16cid:durableId="2120836638">
    <w:abstractNumId w:val="10"/>
  </w:num>
  <w:num w:numId="6" w16cid:durableId="1233737629">
    <w:abstractNumId w:val="9"/>
  </w:num>
  <w:num w:numId="7" w16cid:durableId="548104396">
    <w:abstractNumId w:val="0"/>
  </w:num>
  <w:num w:numId="8" w16cid:durableId="287051802">
    <w:abstractNumId w:val="6"/>
  </w:num>
  <w:num w:numId="9" w16cid:durableId="1510560377">
    <w:abstractNumId w:val="6"/>
  </w:num>
  <w:num w:numId="10" w16cid:durableId="1671131278">
    <w:abstractNumId w:val="14"/>
  </w:num>
  <w:num w:numId="11" w16cid:durableId="415790636">
    <w:abstractNumId w:val="6"/>
  </w:num>
  <w:num w:numId="12" w16cid:durableId="1257053448">
    <w:abstractNumId w:val="3"/>
  </w:num>
  <w:num w:numId="13" w16cid:durableId="2059091229">
    <w:abstractNumId w:val="6"/>
  </w:num>
  <w:num w:numId="14" w16cid:durableId="319775293">
    <w:abstractNumId w:val="13"/>
  </w:num>
  <w:num w:numId="15" w16cid:durableId="446890802">
    <w:abstractNumId w:val="12"/>
  </w:num>
  <w:num w:numId="16" w16cid:durableId="997733750">
    <w:abstractNumId w:val="6"/>
  </w:num>
  <w:num w:numId="17" w16cid:durableId="1232154150">
    <w:abstractNumId w:val="6"/>
  </w:num>
  <w:num w:numId="18" w16cid:durableId="291324444">
    <w:abstractNumId w:val="4"/>
  </w:num>
  <w:num w:numId="19" w16cid:durableId="1986663164">
    <w:abstractNumId w:val="7"/>
  </w:num>
  <w:num w:numId="20" w16cid:durableId="174155244">
    <w:abstractNumId w:val="5"/>
  </w:num>
  <w:num w:numId="21" w16cid:durableId="1479305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0E"/>
    <w:rsid w:val="000019DE"/>
    <w:rsid w:val="000B2FA9"/>
    <w:rsid w:val="0013436B"/>
    <w:rsid w:val="001844C2"/>
    <w:rsid w:val="001E5047"/>
    <w:rsid w:val="00245507"/>
    <w:rsid w:val="00251F14"/>
    <w:rsid w:val="002874AF"/>
    <w:rsid w:val="002963F0"/>
    <w:rsid w:val="002E022C"/>
    <w:rsid w:val="0037168C"/>
    <w:rsid w:val="0039051B"/>
    <w:rsid w:val="003A618A"/>
    <w:rsid w:val="003B5E0C"/>
    <w:rsid w:val="003C7ABF"/>
    <w:rsid w:val="0044306F"/>
    <w:rsid w:val="00450B29"/>
    <w:rsid w:val="00455BE2"/>
    <w:rsid w:val="00486559"/>
    <w:rsid w:val="00494001"/>
    <w:rsid w:val="004A540E"/>
    <w:rsid w:val="00540FF1"/>
    <w:rsid w:val="005911F8"/>
    <w:rsid w:val="005D3FB5"/>
    <w:rsid w:val="006562EA"/>
    <w:rsid w:val="00671080"/>
    <w:rsid w:val="00720DFB"/>
    <w:rsid w:val="007537D4"/>
    <w:rsid w:val="00786326"/>
    <w:rsid w:val="00797B30"/>
    <w:rsid w:val="00891968"/>
    <w:rsid w:val="008D260A"/>
    <w:rsid w:val="00924FB9"/>
    <w:rsid w:val="0095157B"/>
    <w:rsid w:val="00976346"/>
    <w:rsid w:val="009C69F3"/>
    <w:rsid w:val="00A6604B"/>
    <w:rsid w:val="00A9166B"/>
    <w:rsid w:val="00B23E2C"/>
    <w:rsid w:val="00BA2674"/>
    <w:rsid w:val="00BE1734"/>
    <w:rsid w:val="00C04703"/>
    <w:rsid w:val="00D172B2"/>
    <w:rsid w:val="00D63A85"/>
    <w:rsid w:val="00D65FC1"/>
    <w:rsid w:val="00D93B50"/>
    <w:rsid w:val="00DF1655"/>
    <w:rsid w:val="00E576BF"/>
    <w:rsid w:val="00EC1DA2"/>
    <w:rsid w:val="00F00228"/>
    <w:rsid w:val="00F7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BB3B"/>
  <w15:docId w15:val="{E8D1FDA8-7035-4930-92AF-88327FE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C1"/>
    <w:pPr>
      <w:spacing w:before="120" w:after="120" w:line="240" w:lineRule="auto"/>
    </w:pPr>
  </w:style>
  <w:style w:type="paragraph" w:styleId="Ttulo1">
    <w:name w:val="heading 1"/>
    <w:basedOn w:val="Normal"/>
    <w:next w:val="Normal"/>
    <w:uiPriority w:val="9"/>
    <w:qFormat/>
    <w:pPr>
      <w:keepNext/>
      <w:keepLines/>
      <w:spacing w:before="400"/>
      <w:outlineLvl w:val="0"/>
    </w:pPr>
    <w:rPr>
      <w:sz w:val="40"/>
      <w:szCs w:val="40"/>
    </w:rPr>
  </w:style>
  <w:style w:type="paragraph" w:styleId="Ttulo2">
    <w:name w:val="heading 2"/>
    <w:basedOn w:val="Normal"/>
    <w:next w:val="Normal"/>
    <w:uiPriority w:val="9"/>
    <w:unhideWhenUsed/>
    <w:qFormat/>
    <w:rsid w:val="00D65FC1"/>
    <w:pPr>
      <w:numPr>
        <w:numId w:val="8"/>
      </w:numPr>
      <w:spacing w:before="240" w:after="240"/>
      <w:outlineLvl w:val="1"/>
    </w:pPr>
    <w:rPr>
      <w:b/>
      <w:color w:val="666666"/>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976346"/>
    <w:pPr>
      <w:spacing w:line="240" w:lineRule="auto"/>
    </w:pPr>
  </w:style>
  <w:style w:type="character" w:styleId="Refdecomentario">
    <w:name w:val="annotation reference"/>
    <w:basedOn w:val="Fuentedeprrafopredeter"/>
    <w:uiPriority w:val="99"/>
    <w:semiHidden/>
    <w:unhideWhenUsed/>
    <w:rsid w:val="00976346"/>
    <w:rPr>
      <w:sz w:val="16"/>
      <w:szCs w:val="16"/>
    </w:rPr>
  </w:style>
  <w:style w:type="paragraph" w:styleId="Textocomentario">
    <w:name w:val="annotation text"/>
    <w:basedOn w:val="Normal"/>
    <w:link w:val="TextocomentarioCar"/>
    <w:uiPriority w:val="99"/>
    <w:unhideWhenUsed/>
    <w:rsid w:val="00976346"/>
    <w:rPr>
      <w:sz w:val="20"/>
      <w:szCs w:val="20"/>
    </w:rPr>
  </w:style>
  <w:style w:type="character" w:customStyle="1" w:styleId="TextocomentarioCar">
    <w:name w:val="Texto comentario Car"/>
    <w:basedOn w:val="Fuentedeprrafopredeter"/>
    <w:link w:val="Textocomentario"/>
    <w:uiPriority w:val="99"/>
    <w:rsid w:val="00976346"/>
    <w:rPr>
      <w:sz w:val="20"/>
      <w:szCs w:val="20"/>
    </w:rPr>
  </w:style>
  <w:style w:type="paragraph" w:styleId="Asuntodelcomentario">
    <w:name w:val="annotation subject"/>
    <w:basedOn w:val="Textocomentario"/>
    <w:next w:val="Textocomentario"/>
    <w:link w:val="AsuntodelcomentarioCar"/>
    <w:uiPriority w:val="99"/>
    <w:semiHidden/>
    <w:unhideWhenUsed/>
    <w:rsid w:val="00976346"/>
    <w:rPr>
      <w:b/>
      <w:bCs/>
    </w:rPr>
  </w:style>
  <w:style w:type="character" w:customStyle="1" w:styleId="AsuntodelcomentarioCar">
    <w:name w:val="Asunto del comentario Car"/>
    <w:basedOn w:val="TextocomentarioCar"/>
    <w:link w:val="Asuntodelcomentario"/>
    <w:uiPriority w:val="99"/>
    <w:semiHidden/>
    <w:rsid w:val="00976346"/>
    <w:rPr>
      <w:b/>
      <w:bCs/>
      <w:sz w:val="20"/>
      <w:szCs w:val="20"/>
    </w:rPr>
  </w:style>
  <w:style w:type="paragraph" w:styleId="Encabezado">
    <w:name w:val="header"/>
    <w:basedOn w:val="Normal"/>
    <w:link w:val="EncabezadoCar"/>
    <w:uiPriority w:val="99"/>
    <w:unhideWhenUsed/>
    <w:rsid w:val="0044306F"/>
    <w:pPr>
      <w:tabs>
        <w:tab w:val="center" w:pos="4513"/>
        <w:tab w:val="right" w:pos="9026"/>
      </w:tabs>
    </w:pPr>
  </w:style>
  <w:style w:type="character" w:customStyle="1" w:styleId="EncabezadoCar">
    <w:name w:val="Encabezado Car"/>
    <w:basedOn w:val="Fuentedeprrafopredeter"/>
    <w:link w:val="Encabezado"/>
    <w:uiPriority w:val="99"/>
    <w:rsid w:val="0044306F"/>
  </w:style>
  <w:style w:type="paragraph" w:styleId="Piedepgina">
    <w:name w:val="footer"/>
    <w:basedOn w:val="Normal"/>
    <w:link w:val="PiedepginaCar"/>
    <w:uiPriority w:val="99"/>
    <w:unhideWhenUsed/>
    <w:rsid w:val="0044306F"/>
    <w:pPr>
      <w:tabs>
        <w:tab w:val="center" w:pos="4513"/>
        <w:tab w:val="right" w:pos="9026"/>
      </w:tabs>
    </w:pPr>
  </w:style>
  <w:style w:type="character" w:customStyle="1" w:styleId="PiedepginaCar">
    <w:name w:val="Pie de página Car"/>
    <w:basedOn w:val="Fuentedeprrafopredeter"/>
    <w:link w:val="Piedepgina"/>
    <w:uiPriority w:val="99"/>
    <w:rsid w:val="0044306F"/>
  </w:style>
  <w:style w:type="character" w:styleId="Hipervnculo">
    <w:name w:val="Hyperlink"/>
    <w:basedOn w:val="Fuentedeprrafopredeter"/>
    <w:uiPriority w:val="99"/>
    <w:unhideWhenUsed/>
    <w:rsid w:val="00DF1655"/>
    <w:rPr>
      <w:color w:val="0000FF" w:themeColor="hyperlink"/>
      <w:u w:val="single"/>
    </w:rPr>
  </w:style>
  <w:style w:type="character" w:customStyle="1" w:styleId="Mencinsinresolver1">
    <w:name w:val="Mención sin resolver1"/>
    <w:basedOn w:val="Fuentedeprrafopredeter"/>
    <w:uiPriority w:val="99"/>
    <w:semiHidden/>
    <w:unhideWhenUsed/>
    <w:rsid w:val="00DF1655"/>
    <w:rPr>
      <w:color w:val="605E5C"/>
      <w:shd w:val="clear" w:color="auto" w:fill="E1DFDD"/>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Table bullet"/>
    <w:basedOn w:val="Normal"/>
    <w:link w:val="PrrafodelistaCar"/>
    <w:uiPriority w:val="34"/>
    <w:qFormat/>
    <w:rsid w:val="0039051B"/>
    <w:pPr>
      <w:spacing w:before="0" w:after="200" w:line="276" w:lineRule="auto"/>
      <w:ind w:left="720"/>
      <w:contextualSpacing/>
    </w:pPr>
    <w:rPr>
      <w:rFonts w:ascii="Calibri" w:eastAsia="Calibri" w:hAnsi="Calibri" w:cs="Calibri"/>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
    <w:basedOn w:val="Fuentedeprrafopredeter"/>
    <w:link w:val="Prrafodelista"/>
    <w:uiPriority w:val="34"/>
    <w:qFormat/>
    <w:locked/>
    <w:rsid w:val="0039051B"/>
    <w:rPr>
      <w:rFonts w:ascii="Calibri" w:eastAsia="Calibri" w:hAnsi="Calibri" w:cs="Calibri"/>
      <w:lang w:val="ru-RU"/>
    </w:rPr>
  </w:style>
  <w:style w:type="table" w:styleId="Tablaconcuadrcula">
    <w:name w:val="Table Grid"/>
    <w:basedOn w:val="Tablanormal"/>
    <w:uiPriority w:val="39"/>
    <w:rsid w:val="00F7638C"/>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51F14"/>
  </w:style>
  <w:style w:type="character" w:customStyle="1" w:styleId="eop">
    <w:name w:val="eop"/>
    <w:basedOn w:val="Fuentedeprrafopredeter"/>
    <w:rsid w:val="00251F14"/>
  </w:style>
  <w:style w:type="paragraph" w:customStyle="1" w:styleId="paragraph">
    <w:name w:val="paragraph"/>
    <w:basedOn w:val="Normal"/>
    <w:rsid w:val="000B2FA9"/>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97B30"/>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7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86006">
      <w:bodyDiv w:val="1"/>
      <w:marLeft w:val="0"/>
      <w:marRight w:val="0"/>
      <w:marTop w:val="0"/>
      <w:marBottom w:val="0"/>
      <w:divBdr>
        <w:top w:val="none" w:sz="0" w:space="0" w:color="auto"/>
        <w:left w:val="none" w:sz="0" w:space="0" w:color="auto"/>
        <w:bottom w:val="none" w:sz="0" w:space="0" w:color="auto"/>
        <w:right w:val="none" w:sz="0" w:space="0" w:color="auto"/>
      </w:divBdr>
      <w:divsChild>
        <w:div w:id="1654985952">
          <w:marLeft w:val="0"/>
          <w:marRight w:val="0"/>
          <w:marTop w:val="0"/>
          <w:marBottom w:val="0"/>
          <w:divBdr>
            <w:top w:val="none" w:sz="0" w:space="0" w:color="auto"/>
            <w:left w:val="none" w:sz="0" w:space="0" w:color="auto"/>
            <w:bottom w:val="none" w:sz="0" w:space="0" w:color="auto"/>
            <w:right w:val="none" w:sz="0" w:space="0" w:color="auto"/>
          </w:divBdr>
        </w:div>
        <w:div w:id="1406222824">
          <w:marLeft w:val="0"/>
          <w:marRight w:val="0"/>
          <w:marTop w:val="0"/>
          <w:marBottom w:val="0"/>
          <w:divBdr>
            <w:top w:val="none" w:sz="0" w:space="0" w:color="auto"/>
            <w:left w:val="none" w:sz="0" w:space="0" w:color="auto"/>
            <w:bottom w:val="none" w:sz="0" w:space="0" w:color="auto"/>
            <w:right w:val="none" w:sz="0" w:space="0" w:color="auto"/>
          </w:divBdr>
        </w:div>
        <w:div w:id="1282298043">
          <w:marLeft w:val="0"/>
          <w:marRight w:val="0"/>
          <w:marTop w:val="0"/>
          <w:marBottom w:val="0"/>
          <w:divBdr>
            <w:top w:val="none" w:sz="0" w:space="0" w:color="auto"/>
            <w:left w:val="none" w:sz="0" w:space="0" w:color="auto"/>
            <w:bottom w:val="none" w:sz="0" w:space="0" w:color="auto"/>
            <w:right w:val="none" w:sz="0" w:space="0" w:color="auto"/>
          </w:divBdr>
        </w:div>
        <w:div w:id="334264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iefweb.int/report/colombia/value-money-report-venesperanza-prepared-key-aid-consulting-august-2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ptratool.org/how-does-dioptra-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2dd2c6-932b-4822-9dbd-d0669e617e0f" xsi:nil="true"/>
    <lcf76f155ced4ddcb4097134ff3c332f xmlns="4e0316ce-b060-4817-b5f5-6985416301e8">
      <Terms xmlns="http://schemas.microsoft.com/office/infopath/2007/PartnerControls"/>
    </lcf76f155ced4ddcb4097134ff3c332f>
    <name xmlns="4e0316ce-b060-4817-b5f5-6985416301e8" xsi:nil="true"/>
    <Indicator_x0023_ xmlns="4e0316ce-b060-4817-b5f5-6985416301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01368-475B-45D3-8D7C-75663EA6E77D}">
  <ds:schemaRefs>
    <ds:schemaRef ds:uri="http://schemas.openxmlformats.org/officeDocument/2006/bibliography"/>
  </ds:schemaRefs>
</ds:datastoreItem>
</file>

<file path=customXml/itemProps2.xml><?xml version="1.0" encoding="utf-8"?>
<ds:datastoreItem xmlns:ds="http://schemas.openxmlformats.org/officeDocument/2006/customXml" ds:itemID="{A4252FAE-8058-4D3A-B3FD-ACDC28A6BD11}">
  <ds:schemaRefs>
    <ds:schemaRef ds:uri="http://schemas.microsoft.com/sharepoint/v3/contenttype/forms"/>
  </ds:schemaRefs>
</ds:datastoreItem>
</file>

<file path=customXml/itemProps3.xml><?xml version="1.0" encoding="utf-8"?>
<ds:datastoreItem xmlns:ds="http://schemas.openxmlformats.org/officeDocument/2006/customXml" ds:itemID="{C75310D7-E843-4484-84A5-B8CE979E43E4}">
  <ds:schemaRefs>
    <ds:schemaRef ds:uri="http://schemas.microsoft.com/office/2006/metadata/properties"/>
    <ds:schemaRef ds:uri="http://schemas.microsoft.com/office/infopath/2007/PartnerControls"/>
    <ds:schemaRef ds:uri="3d2dd2c6-932b-4822-9dbd-d0669e617e0f"/>
    <ds:schemaRef ds:uri="4e0316ce-b060-4817-b5f5-6985416301e8"/>
  </ds:schemaRefs>
</ds:datastoreItem>
</file>

<file path=customXml/itemProps4.xml><?xml version="1.0" encoding="utf-8"?>
<ds:datastoreItem xmlns:ds="http://schemas.openxmlformats.org/officeDocument/2006/customXml" ds:itemID="{AFE4D7F6-B1F2-4EEA-B949-817907B2F340}"/>
</file>

<file path=docProps/app.xml><?xml version="1.0" encoding="utf-8"?>
<Properties xmlns="http://schemas.openxmlformats.org/officeDocument/2006/extended-properties" xmlns:vt="http://schemas.openxmlformats.org/officeDocument/2006/docPropsVTypes">
  <Template>Normal</Template>
  <TotalTime>24</TotalTime>
  <Pages>7</Pages>
  <Words>2047</Words>
  <Characters>11260</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Mercy Corps</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Ercolano</dc:creator>
  <cp:lastModifiedBy>Erick Cortes</cp:lastModifiedBy>
  <cp:revision>8</cp:revision>
  <dcterms:created xsi:type="dcterms:W3CDTF">2023-10-13T22:05:00Z</dcterms:created>
  <dcterms:modified xsi:type="dcterms:W3CDTF">2023-10-24T20:33:00Z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